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87" w:rsidRPr="00906087" w:rsidRDefault="00906087" w:rsidP="00906087">
      <w:pPr>
        <w:pStyle w:val="1"/>
        <w:spacing w:beforeLines="50" w:afterLines="150" w:line="300" w:lineRule="auto"/>
        <w:ind w:rightChars="-19" w:right="-40"/>
        <w:jc w:val="center"/>
        <w:rPr>
          <w:rFonts w:ascii="黑体" w:eastAsia="黑体" w:hAnsi="黑体"/>
          <w:color w:val="000000"/>
          <w:sz w:val="36"/>
          <w:szCs w:val="36"/>
        </w:rPr>
      </w:pPr>
      <w:bookmarkStart w:id="0" w:name="_Toc428876375"/>
      <w:bookmarkStart w:id="1" w:name="_Toc375578559"/>
      <w:bookmarkStart w:id="2" w:name="_Toc179704473"/>
      <w:bookmarkStart w:id="3" w:name="_Toc491679384"/>
      <w:r w:rsidRPr="00906087">
        <w:rPr>
          <w:rFonts w:ascii="黑体" w:eastAsia="黑体" w:hAnsi="黑体" w:hint="eastAsia"/>
          <w:color w:val="000000"/>
          <w:sz w:val="36"/>
          <w:szCs w:val="36"/>
        </w:rPr>
        <w:t>攻读博士学位研究生培养工作的规定</w:t>
      </w:r>
      <w:bookmarkEnd w:id="0"/>
      <w:bookmarkEnd w:id="1"/>
      <w:bookmarkEnd w:id="2"/>
      <w:bookmarkEnd w:id="3"/>
    </w:p>
    <w:p w:rsidR="00906087" w:rsidRDefault="00906087" w:rsidP="00906087">
      <w:pPr>
        <w:adjustRightInd w:val="0"/>
        <w:snapToGrid w:val="0"/>
        <w:spacing w:beforeLines="40" w:line="300" w:lineRule="auto"/>
        <w:rPr>
          <w:b/>
          <w:color w:val="000000"/>
          <w:sz w:val="24"/>
          <w:szCs w:val="20"/>
        </w:rPr>
      </w:pPr>
      <w:bookmarkStart w:id="4" w:name="_Toc179704474"/>
      <w:bookmarkStart w:id="5" w:name="_Toc177528163"/>
      <w:bookmarkStart w:id="6" w:name="_Toc144720074"/>
      <w:r>
        <w:rPr>
          <w:rFonts w:hint="eastAsia"/>
          <w:b/>
          <w:color w:val="000000"/>
          <w:sz w:val="24"/>
        </w:rPr>
        <w:t>一、培养目标</w:t>
      </w:r>
    </w:p>
    <w:p w:rsidR="00906087" w:rsidRDefault="00906087" w:rsidP="00906087">
      <w:pPr>
        <w:pStyle w:val="a5"/>
        <w:adjustRightInd w:val="0"/>
        <w:snapToGrid w:val="0"/>
        <w:spacing w:beforeLines="4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．树立爱国主义和集体主义思想，掌握辩证唯物主义和历史唯物主义的基本原理，树立科学的世界观与方法论。</w:t>
      </w:r>
    </w:p>
    <w:p w:rsidR="00906087" w:rsidRDefault="00906087" w:rsidP="00906087">
      <w:pPr>
        <w:pStyle w:val="a5"/>
        <w:adjustRightInd w:val="0"/>
        <w:snapToGrid w:val="0"/>
        <w:spacing w:beforeLines="4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2</w:t>
      </w:r>
      <w:r>
        <w:rPr>
          <w:rFonts w:ascii="Times New Roman" w:eastAsia="宋体" w:hAnsi="Times New Roman" w:cs="Times New Roman" w:hint="eastAsia"/>
          <w:color w:val="000000"/>
          <w:kern w:val="2"/>
          <w:szCs w:val="20"/>
        </w:rPr>
        <w:t>．掌握本学科坚实宽广的基础理论和系统深入的专门知识；掌握本学科的现代实验方法和技能；熟练地掌握一门外国语，并具有一定的国际学术交流能力；具有独立地、创造性地从事科学研究的能力；能够在科学研究或专门技术上做出创造性的成果。</w:t>
      </w:r>
    </w:p>
    <w:p w:rsidR="00906087" w:rsidRDefault="00906087" w:rsidP="00906087">
      <w:pPr>
        <w:pStyle w:val="a5"/>
        <w:adjustRightInd w:val="0"/>
        <w:snapToGrid w:val="0"/>
        <w:spacing w:beforeLines="4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．具有严谨的科研作风，良好的合作精神和较强的交流能力。</w:t>
      </w:r>
    </w:p>
    <w:p w:rsidR="00906087" w:rsidRDefault="00906087" w:rsidP="00906087">
      <w:pPr>
        <w:adjustRightInd w:val="0"/>
        <w:snapToGrid w:val="0"/>
        <w:spacing w:beforeLines="40" w:line="300" w:lineRule="auto"/>
        <w:rPr>
          <w:rFonts w:ascii="Times New Roman" w:eastAsia="宋体" w:hAnsi="Times New Roman" w:cs="Times New Roman"/>
          <w:b/>
          <w:color w:val="000000"/>
          <w:sz w:val="24"/>
          <w:szCs w:val="20"/>
        </w:rPr>
      </w:pPr>
      <w:r>
        <w:rPr>
          <w:rFonts w:hint="eastAsia"/>
          <w:b/>
          <w:color w:val="000000"/>
          <w:sz w:val="24"/>
        </w:rPr>
        <w:t>二、培养年限</w:t>
      </w:r>
    </w:p>
    <w:p w:rsidR="00906087" w:rsidRDefault="00906087" w:rsidP="00906087">
      <w:pPr>
        <w:pStyle w:val="a5"/>
        <w:adjustRightInd w:val="0"/>
        <w:snapToGrid w:val="0"/>
        <w:spacing w:beforeLines="4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博士生培养年限为</w:t>
      </w:r>
      <w:r>
        <w:rPr>
          <w:rFonts w:ascii="Times New Roman" w:eastAsia="宋体" w:hAnsi="Times New Roman" w:cs="Times New Roman"/>
          <w:color w:val="000000"/>
          <w:kern w:val="2"/>
          <w:szCs w:val="20"/>
        </w:rPr>
        <w:t>4</w:t>
      </w:r>
      <w:r>
        <w:rPr>
          <w:rFonts w:ascii="Times New Roman" w:eastAsia="宋体" w:hAnsi="Times New Roman" w:cs="Times New Roman" w:hint="eastAsia"/>
          <w:color w:val="000000"/>
          <w:kern w:val="2"/>
          <w:szCs w:val="20"/>
        </w:rPr>
        <w:t>年，硕博连读研究生培养年限为</w:t>
      </w:r>
      <w:r>
        <w:rPr>
          <w:rFonts w:ascii="Times New Roman" w:eastAsia="宋体" w:hAnsi="Times New Roman" w:cs="Times New Roman"/>
          <w:color w:val="000000"/>
          <w:kern w:val="2"/>
          <w:szCs w:val="20"/>
        </w:rPr>
        <w:t>5</w:t>
      </w:r>
      <w:r>
        <w:rPr>
          <w:rFonts w:ascii="Times New Roman" w:eastAsia="宋体" w:hAnsi="Times New Roman" w:cs="Times New Roman" w:hint="eastAsia"/>
          <w:color w:val="000000"/>
          <w:kern w:val="2"/>
          <w:szCs w:val="20"/>
        </w:rPr>
        <w:t>年。</w:t>
      </w:r>
    </w:p>
    <w:p w:rsidR="00906087" w:rsidRDefault="00906087" w:rsidP="00906087">
      <w:pPr>
        <w:adjustRightInd w:val="0"/>
        <w:snapToGrid w:val="0"/>
        <w:spacing w:beforeLines="40" w:line="300" w:lineRule="auto"/>
        <w:rPr>
          <w:rFonts w:ascii="Times New Roman" w:eastAsia="宋体" w:hAnsi="Times New Roman" w:cs="Times New Roman"/>
          <w:b/>
          <w:color w:val="000000"/>
          <w:sz w:val="24"/>
          <w:szCs w:val="20"/>
        </w:rPr>
      </w:pPr>
      <w:r>
        <w:rPr>
          <w:rFonts w:hint="eastAsia"/>
          <w:b/>
          <w:color w:val="000000"/>
          <w:sz w:val="24"/>
        </w:rPr>
        <w:t>三、培养方式</w:t>
      </w:r>
    </w:p>
    <w:p w:rsidR="00906087" w:rsidRDefault="00906087" w:rsidP="00906087">
      <w:pPr>
        <w:pStyle w:val="a5"/>
        <w:adjustRightInd w:val="0"/>
        <w:snapToGrid w:val="0"/>
        <w:spacing w:beforeLines="4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生的培养实行博士生导师负责制。可根据培养工作的需要确定副导师和协助指导教师。为有利于在博士生培养中博采众长，提倡对同一研究方向的博士生成立博士生培养指导小组，对培养中的重要环节和博士学位论文中的重要学术问题进行集体讨论。博士生培养指导小组名单在院系备案。</w:t>
      </w:r>
    </w:p>
    <w:p w:rsidR="00906087" w:rsidRDefault="00906087" w:rsidP="00906087">
      <w:pPr>
        <w:adjustRightInd w:val="0"/>
        <w:snapToGrid w:val="0"/>
        <w:spacing w:beforeLines="50" w:line="300" w:lineRule="auto"/>
        <w:rPr>
          <w:rFonts w:ascii="Times New Roman" w:eastAsia="宋体" w:hAnsi="Times New Roman" w:cs="Times New Roman"/>
          <w:b/>
          <w:color w:val="000000"/>
          <w:sz w:val="24"/>
          <w:szCs w:val="20"/>
        </w:rPr>
      </w:pPr>
      <w:r>
        <w:rPr>
          <w:rFonts w:hint="eastAsia"/>
          <w:b/>
          <w:color w:val="000000"/>
          <w:sz w:val="24"/>
        </w:rPr>
        <w:t>四、学分设置</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博士生学分设置如下：</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6"/>
        <w:gridCol w:w="3175"/>
        <w:gridCol w:w="1216"/>
        <w:gridCol w:w="1078"/>
      </w:tblGrid>
      <w:tr w:rsidR="00906087" w:rsidTr="0033053E">
        <w:trPr>
          <w:trHeight w:val="331"/>
          <w:jc w:val="center"/>
        </w:trPr>
        <w:tc>
          <w:tcPr>
            <w:tcW w:w="4931" w:type="dxa"/>
            <w:gridSpan w:val="2"/>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b/>
                <w:color w:val="000000"/>
                <w:szCs w:val="21"/>
              </w:rPr>
            </w:pPr>
            <w:r>
              <w:rPr>
                <w:rFonts w:hint="eastAsia"/>
                <w:b/>
                <w:color w:val="000000"/>
                <w:szCs w:val="21"/>
              </w:rPr>
              <w:t>课程类别</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b/>
                <w:color w:val="000000"/>
                <w:szCs w:val="21"/>
              </w:rPr>
            </w:pPr>
            <w:r>
              <w:rPr>
                <w:rFonts w:hint="eastAsia"/>
                <w:b/>
                <w:color w:val="000000"/>
                <w:szCs w:val="21"/>
              </w:rPr>
              <w:t>学分</w:t>
            </w:r>
          </w:p>
        </w:tc>
        <w:tc>
          <w:tcPr>
            <w:tcW w:w="107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b/>
                <w:color w:val="000000"/>
                <w:szCs w:val="21"/>
              </w:rPr>
            </w:pPr>
            <w:r>
              <w:rPr>
                <w:rFonts w:hint="eastAsia"/>
                <w:b/>
                <w:color w:val="000000"/>
                <w:szCs w:val="21"/>
              </w:rPr>
              <w:t>学时</w:t>
            </w:r>
          </w:p>
        </w:tc>
      </w:tr>
      <w:tr w:rsidR="00906087" w:rsidTr="0033053E">
        <w:trPr>
          <w:trHeight w:val="65"/>
          <w:jc w:val="center"/>
        </w:trPr>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color w:val="000000"/>
                <w:szCs w:val="21"/>
              </w:rPr>
            </w:pPr>
            <w:r>
              <w:rPr>
                <w:rFonts w:hint="eastAsia"/>
                <w:color w:val="000000"/>
                <w:szCs w:val="21"/>
              </w:rPr>
              <w:t>学位课</w:t>
            </w: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中国马克思主义与当代</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36</w:t>
            </w:r>
          </w:p>
        </w:tc>
      </w:tr>
      <w:tr w:rsidR="00906087" w:rsidTr="0033053E">
        <w:trPr>
          <w:trHeight w:val="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color w:val="000000"/>
                <w:szCs w:val="21"/>
              </w:rPr>
            </w:pP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第一外国语（有条件免修）</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64</w:t>
            </w:r>
          </w:p>
        </w:tc>
      </w:tr>
      <w:tr w:rsidR="00906087" w:rsidTr="0033053E">
        <w:trPr>
          <w:trHeight w:val="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color w:val="000000"/>
                <w:szCs w:val="21"/>
              </w:rPr>
            </w:pP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学科学位课程</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≥32</w:t>
            </w:r>
          </w:p>
        </w:tc>
      </w:tr>
      <w:tr w:rsidR="00906087" w:rsidTr="0033053E">
        <w:trPr>
          <w:trHeight w:val="54"/>
          <w:jc w:val="center"/>
        </w:trPr>
        <w:tc>
          <w:tcPr>
            <w:tcW w:w="1756"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color w:val="000000"/>
                <w:szCs w:val="21"/>
              </w:rPr>
            </w:pPr>
            <w:r>
              <w:rPr>
                <w:rFonts w:hint="eastAsia"/>
                <w:color w:val="000000"/>
                <w:szCs w:val="21"/>
              </w:rPr>
              <w:t>选修课</w:t>
            </w: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选修课</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07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≥64</w:t>
            </w:r>
          </w:p>
        </w:tc>
      </w:tr>
      <w:tr w:rsidR="00906087" w:rsidTr="0033053E">
        <w:trPr>
          <w:trHeight w:val="54"/>
          <w:jc w:val="center"/>
        </w:trPr>
        <w:tc>
          <w:tcPr>
            <w:tcW w:w="1756" w:type="dxa"/>
            <w:vMerge w:val="restart"/>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color w:val="000000"/>
                <w:szCs w:val="21"/>
              </w:rPr>
            </w:pPr>
            <w:r>
              <w:rPr>
                <w:rFonts w:hint="eastAsia"/>
                <w:color w:val="000000"/>
                <w:szCs w:val="21"/>
              </w:rPr>
              <w:t>必修环节</w:t>
            </w: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color w:val="000000"/>
                <w:sz w:val="21"/>
                <w:szCs w:val="21"/>
              </w:rPr>
            </w:pPr>
            <w:r>
              <w:rPr>
                <w:rFonts w:ascii="Times New Roman" w:eastAsia="宋体" w:hAnsi="Times New Roman" w:cs="Times New Roman" w:hint="eastAsia"/>
                <w:color w:val="000000"/>
                <w:kern w:val="2"/>
                <w:sz w:val="21"/>
                <w:szCs w:val="21"/>
              </w:rPr>
              <w:t>综合考评</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rsidR="00906087" w:rsidRDefault="00906087" w:rsidP="0033053E">
            <w:pPr>
              <w:adjustRightInd w:val="0"/>
              <w:snapToGrid w:val="0"/>
              <w:jc w:val="center"/>
              <w:rPr>
                <w:rFonts w:ascii="宋体" w:hAnsi="宋体" w:cs="宋体"/>
                <w:color w:val="000000"/>
                <w:kern w:val="0"/>
                <w:szCs w:val="21"/>
              </w:rPr>
            </w:pPr>
          </w:p>
        </w:tc>
      </w:tr>
      <w:tr w:rsidR="00906087" w:rsidTr="0033053E">
        <w:trPr>
          <w:trHeight w:val="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color w:val="000000"/>
                <w:szCs w:val="21"/>
              </w:rPr>
            </w:pP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开题报告</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color w:val="000000"/>
                <w:szCs w:val="21"/>
              </w:rPr>
            </w:pP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中期检查</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color w:val="000000"/>
                <w:szCs w:val="21"/>
              </w:rPr>
            </w:pPr>
          </w:p>
        </w:tc>
        <w:tc>
          <w:tcPr>
            <w:tcW w:w="317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906087">
            <w:pPr>
              <w:pStyle w:val="a5"/>
              <w:adjustRightInd w:val="0"/>
              <w:snapToGrid w:val="0"/>
              <w:spacing w:beforeLines="20" w:beforeAutospacing="0" w:afterLines="20" w:afterAutospacing="0" w:line="240" w:lineRule="auto"/>
              <w:rPr>
                <w:rFonts w:ascii="Times New Roman" w:eastAsia="宋体" w:hAnsi="Times New Roman" w:cs="Times New Roman"/>
                <w:color w:val="000000"/>
                <w:kern w:val="2"/>
                <w:sz w:val="21"/>
                <w:szCs w:val="21"/>
              </w:rPr>
            </w:pPr>
            <w:r>
              <w:rPr>
                <w:rFonts w:ascii="Times New Roman" w:eastAsia="宋体" w:hAnsi="Times New Roman" w:cs="Times New Roman" w:hint="eastAsia"/>
                <w:color w:val="000000"/>
                <w:kern w:val="2"/>
                <w:sz w:val="21"/>
                <w:szCs w:val="21"/>
              </w:rPr>
              <w:t>学术活动或社会实践</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50"/>
          <w:jc w:val="center"/>
        </w:trPr>
        <w:tc>
          <w:tcPr>
            <w:tcW w:w="1756"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color w:val="000000"/>
                <w:szCs w:val="21"/>
              </w:rPr>
            </w:pPr>
            <w:r>
              <w:rPr>
                <w:rFonts w:hint="eastAsia"/>
                <w:color w:val="000000"/>
                <w:szCs w:val="21"/>
              </w:rPr>
              <w:t>总学分</w:t>
            </w:r>
          </w:p>
        </w:tc>
        <w:tc>
          <w:tcPr>
            <w:tcW w:w="5469" w:type="dxa"/>
            <w:gridSpan w:val="3"/>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r>
    </w:tbl>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有关说明：</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lastRenderedPageBreak/>
        <w:t>（</w:t>
      </w:r>
      <w:r>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）公共课程：中国马克思主义与当代为博士生必选学位课；对于外语水平较高的博士研究生，第一外国语课程可根据《研究生英语一外免修办法》申请免修。</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2</w:t>
      </w:r>
      <w:r>
        <w:rPr>
          <w:rFonts w:ascii="Times New Roman" w:eastAsia="宋体" w:hAnsi="Times New Roman" w:cs="Times New Roman" w:hint="eastAsia"/>
          <w:color w:val="000000"/>
          <w:kern w:val="2"/>
          <w:szCs w:val="20"/>
        </w:rPr>
        <w:t>）综合考评：学院根据本学科博士生培养要求制定博士研究生必须掌握的基础理论和专门知识的具体要求。学院在第一学年末要对博士生的思想政治素质、学习工作态度、学科基础理论和专门知识的掌握情况、研究能力和研究潜力进行综合考评。具体要求见《博士研究生综合考评的相关要求》。</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）论文开题：博士研究生入学后一般应在第二学年</w:t>
      </w:r>
      <w:proofErr w:type="gramStart"/>
      <w:r>
        <w:rPr>
          <w:rFonts w:ascii="Times New Roman" w:eastAsia="宋体" w:hAnsi="Times New Roman" w:cs="Times New Roman" w:hint="eastAsia"/>
          <w:color w:val="000000"/>
          <w:kern w:val="2"/>
          <w:szCs w:val="20"/>
        </w:rPr>
        <w:t>第一学</w:t>
      </w:r>
      <w:proofErr w:type="gramEnd"/>
      <w:r>
        <w:rPr>
          <w:rFonts w:ascii="Times New Roman" w:eastAsia="宋体" w:hAnsi="Times New Roman" w:cs="Times New Roman" w:hint="eastAsia"/>
          <w:color w:val="000000"/>
          <w:kern w:val="2"/>
          <w:szCs w:val="20"/>
        </w:rPr>
        <w:t>期末完成论文开题，最迟要在第二学年末完成，论文开题一般采取答辩方式进行，并提交书面开题报告。具体要求见《博士学位论文开题的有关要求》。</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4</w:t>
      </w:r>
      <w:r>
        <w:rPr>
          <w:rFonts w:ascii="Times New Roman" w:eastAsia="宋体" w:hAnsi="Times New Roman" w:cs="Times New Roman" w:hint="eastAsia"/>
          <w:color w:val="000000"/>
          <w:kern w:val="2"/>
          <w:szCs w:val="20"/>
        </w:rPr>
        <w:t>）中期检查：学位论文实行中期检查制度。在研究生博士学位论文工作的中期，学院应组织考查小组（</w:t>
      </w:r>
      <w:r>
        <w:rPr>
          <w:rFonts w:ascii="Times New Roman" w:eastAsia="宋体" w:hAnsi="Times New Roman" w:cs="Times New Roman"/>
          <w:color w:val="000000"/>
          <w:kern w:val="2"/>
          <w:szCs w:val="20"/>
        </w:rPr>
        <w:t>3-5</w:t>
      </w:r>
      <w:r>
        <w:rPr>
          <w:rFonts w:ascii="Times New Roman" w:eastAsia="宋体" w:hAnsi="Times New Roman" w:cs="Times New Roman" w:hint="eastAsia"/>
          <w:color w:val="000000"/>
          <w:kern w:val="2"/>
          <w:szCs w:val="20"/>
        </w:rPr>
        <w:t>人组成）对研究生的综合能力、论文工作进展以及工作态度、精力投入等进行全面考查。具体要求见《博士学位论文中期检查的有关要求》</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5</w:t>
      </w:r>
      <w:r>
        <w:rPr>
          <w:rFonts w:ascii="Times New Roman" w:eastAsia="宋体" w:hAnsi="Times New Roman" w:cs="Times New Roman" w:hint="eastAsia"/>
          <w:color w:val="000000"/>
          <w:kern w:val="2"/>
          <w:szCs w:val="20"/>
        </w:rPr>
        <w:t>）学术活动：博士研究生在攻读博士学位期间参加重要国际学术会议、大型国内学术会议、校内举办的各种学术报告和学术讲座等学术活动可以获得</w:t>
      </w:r>
      <w:r>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学分。由学院根据本学科的实际情况制定有关学分获得办法。各一级学科每年应为博士生开设学术讲座不少于</w:t>
      </w: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次。</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6</w:t>
      </w:r>
      <w:r>
        <w:rPr>
          <w:rFonts w:ascii="Times New Roman" w:eastAsia="宋体" w:hAnsi="Times New Roman" w:cs="Times New Roman" w:hint="eastAsia"/>
          <w:color w:val="000000"/>
          <w:kern w:val="2"/>
          <w:szCs w:val="20"/>
        </w:rPr>
        <w:t>）社会实践：具体实践方式参见《研究生社会实践学分实施意见》。</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7</w:t>
      </w:r>
      <w:r>
        <w:rPr>
          <w:rFonts w:ascii="Times New Roman" w:eastAsia="宋体" w:hAnsi="Times New Roman" w:cs="Times New Roman" w:hint="eastAsia"/>
          <w:color w:val="000000"/>
          <w:kern w:val="2"/>
          <w:szCs w:val="20"/>
        </w:rPr>
        <w:t>）上述学分和学时要求为学校规定的最低要求，部分学科根据自身的学科特点制定了更高学分要求的，按相应学科要求执行。</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8</w:t>
      </w:r>
      <w:r>
        <w:rPr>
          <w:rFonts w:ascii="Times New Roman" w:eastAsia="宋体" w:hAnsi="Times New Roman" w:cs="Times New Roman" w:hint="eastAsia"/>
          <w:color w:val="000000"/>
          <w:kern w:val="2"/>
          <w:szCs w:val="20"/>
        </w:rPr>
        <w:t>）公共课程和学科学位课程为考试课程，选修课程为考查课程。博士生课程学习一般应在入学后一学年内完成，特殊情况下不超过两学年。</w:t>
      </w:r>
    </w:p>
    <w:p w:rsidR="00906087" w:rsidRDefault="00906087" w:rsidP="00906087">
      <w:pPr>
        <w:pStyle w:val="a4"/>
        <w:tabs>
          <w:tab w:val="left" w:pos="3960"/>
          <w:tab w:val="left" w:pos="5040"/>
        </w:tabs>
        <w:adjustRightInd w:val="0"/>
        <w:snapToGrid w:val="0"/>
        <w:spacing w:line="300" w:lineRule="auto"/>
        <w:ind w:firstLineChars="200" w:firstLine="480"/>
        <w:rPr>
          <w:rFonts w:ascii="Times New Roman" w:hAnsi="Times New Roman" w:cs="Courier New" w:hint="default"/>
          <w:color w:val="000000"/>
          <w:sz w:val="24"/>
          <w:szCs w:val="21"/>
        </w:rPr>
      </w:pPr>
      <w:r>
        <w:rPr>
          <w:rFonts w:ascii="Times New Roman" w:hAnsi="Times New Roman"/>
          <w:color w:val="000000"/>
          <w:sz w:val="24"/>
        </w:rPr>
        <w:t>（</w:t>
      </w:r>
      <w:r>
        <w:rPr>
          <w:rFonts w:ascii="Times New Roman" w:hAnsi="Times New Roman"/>
          <w:color w:val="000000"/>
          <w:sz w:val="24"/>
        </w:rPr>
        <w:t>9</w:t>
      </w:r>
      <w:r>
        <w:rPr>
          <w:rFonts w:ascii="Times New Roman" w:hAnsi="Times New Roman"/>
          <w:color w:val="000000"/>
          <w:sz w:val="24"/>
        </w:rPr>
        <w:t>）在为博士生制定具体培养计划时，导师还可根据研究工作需要和博士生的学科基础指定自选课程和补修课程。自选课程和补修课程计成绩，不计学分。</w:t>
      </w:r>
    </w:p>
    <w:p w:rsidR="00906087" w:rsidRDefault="00906087" w:rsidP="00906087">
      <w:pPr>
        <w:adjustRightInd w:val="0"/>
        <w:snapToGrid w:val="0"/>
        <w:spacing w:beforeLines="50" w:line="300" w:lineRule="auto"/>
        <w:rPr>
          <w:rFonts w:ascii="Times New Roman" w:hAnsi="Times New Roman"/>
          <w:b/>
          <w:color w:val="000000"/>
          <w:sz w:val="24"/>
        </w:rPr>
      </w:pPr>
      <w:r>
        <w:rPr>
          <w:rFonts w:hint="eastAsia"/>
          <w:b/>
          <w:color w:val="000000"/>
          <w:sz w:val="24"/>
        </w:rPr>
        <w:t>五、学位论文</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．发表学术论文</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博士研究生在攻读学位期间发表高水平学术论文是研究生培养质量和学位授予质量的重要标志之一。我校对博士生发表学术论文的基本要求见</w:t>
      </w:r>
      <w:bookmarkStart w:id="7" w:name="_Toc77753958"/>
      <w:r>
        <w:rPr>
          <w:rFonts w:ascii="Times New Roman" w:eastAsia="宋体" w:hAnsi="Times New Roman" w:cs="Times New Roman" w:hint="eastAsia"/>
          <w:color w:val="000000"/>
          <w:kern w:val="2"/>
          <w:szCs w:val="20"/>
        </w:rPr>
        <w:t>《哈尔滨工业大学关于博士研究生在攻读学位期间发表学术论文的</w:t>
      </w:r>
      <w:bookmarkEnd w:id="7"/>
      <w:r>
        <w:rPr>
          <w:rFonts w:ascii="Times New Roman" w:eastAsia="宋体" w:hAnsi="Times New Roman" w:cs="Times New Roman" w:hint="eastAsia"/>
          <w:color w:val="000000"/>
          <w:kern w:val="2"/>
          <w:szCs w:val="20"/>
        </w:rPr>
        <w:t>要求》。各学位</w:t>
      </w:r>
      <w:proofErr w:type="gramStart"/>
      <w:r>
        <w:rPr>
          <w:rFonts w:ascii="Times New Roman" w:eastAsia="宋体" w:hAnsi="Times New Roman" w:cs="Times New Roman" w:hint="eastAsia"/>
          <w:color w:val="000000"/>
          <w:kern w:val="2"/>
          <w:szCs w:val="20"/>
        </w:rPr>
        <w:t>评定分</w:t>
      </w:r>
      <w:proofErr w:type="gramEnd"/>
      <w:r>
        <w:rPr>
          <w:rFonts w:ascii="Times New Roman" w:eastAsia="宋体" w:hAnsi="Times New Roman" w:cs="Times New Roman" w:hint="eastAsia"/>
          <w:color w:val="000000"/>
          <w:kern w:val="2"/>
          <w:szCs w:val="20"/>
        </w:rPr>
        <w:t>委员会根据所在学科的实际情况，在满足学校基本要求的前提下，制定了本一级学科范围内更高的博士生发表学术论文要求的，按学科要求执行。</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2</w:t>
      </w:r>
      <w:r>
        <w:rPr>
          <w:rFonts w:ascii="Times New Roman" w:eastAsia="宋体" w:hAnsi="Times New Roman" w:cs="Times New Roman" w:hint="eastAsia"/>
          <w:color w:val="000000"/>
          <w:kern w:val="2"/>
          <w:szCs w:val="20"/>
        </w:rPr>
        <w:t>．学位论文撰写</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lastRenderedPageBreak/>
        <w:t>博士学位论文是博士生科学研究工作的全面总结，是描述其研究成果、反映其研究水平的重要学术文献资料，是申请和授予博士学位的基本依据。学位论文撰写是博士生培养过程的基本训练之一，必须按照规范认真执行，具体要求见《哈尔滨工业大学博士学位论文撰写基本要求》。</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．预答辩及答辩</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博士学位论文预答辩是切实检查博士学位论文工作，保证博士学位论文质量的重要环节。博士生在学位论</w:t>
      </w:r>
      <w:bookmarkStart w:id="8" w:name="_Toc77753956"/>
      <w:r>
        <w:rPr>
          <w:rFonts w:ascii="Times New Roman" w:eastAsia="宋体" w:hAnsi="Times New Roman" w:cs="Times New Roman" w:hint="eastAsia"/>
          <w:color w:val="000000"/>
          <w:kern w:val="2"/>
          <w:szCs w:val="20"/>
        </w:rPr>
        <w:t>文初稿完成并经导师审阅认可后，可向所在学科点提出预答辩申请。对预答辩的有关要求见《哈尔滨工业大学博士研究生申请学位工作细则</w:t>
      </w:r>
      <w:bookmarkEnd w:id="8"/>
      <w:r>
        <w:rPr>
          <w:rFonts w:ascii="Times New Roman" w:eastAsia="宋体" w:hAnsi="Times New Roman" w:cs="Times New Roman" w:hint="eastAsia"/>
          <w:color w:val="000000"/>
          <w:kern w:val="2"/>
          <w:szCs w:val="20"/>
        </w:rPr>
        <w:t>》。</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博士学位论文答辩是对博士生科学研究工作和学位论文水平的全面考核，是申请和授予博士学位的重要程序。申请博士学位论文答辩的条件及有关要求见《哈尔滨工业大学博士研究生申请学位工作细则》。</w:t>
      </w:r>
    </w:p>
    <w:p w:rsidR="00906087" w:rsidRDefault="00906087" w:rsidP="00906087">
      <w:pPr>
        <w:pStyle w:val="1"/>
        <w:spacing w:beforeLines="50" w:afterLines="150" w:line="300" w:lineRule="auto"/>
        <w:ind w:rightChars="-19" w:right="-40"/>
        <w:jc w:val="center"/>
        <w:rPr>
          <w:color w:val="000000"/>
          <w:sz w:val="28"/>
          <w:szCs w:val="28"/>
        </w:rPr>
      </w:pPr>
      <w:r>
        <w:rPr>
          <w:b w:val="0"/>
          <w:bCs w:val="0"/>
          <w:color w:val="000000"/>
        </w:rPr>
        <w:br w:type="page"/>
      </w:r>
      <w:bookmarkStart w:id="9" w:name="_Toc428876376"/>
      <w:bookmarkStart w:id="10" w:name="_Toc375578560"/>
      <w:bookmarkStart w:id="11" w:name="_Toc179704476"/>
      <w:bookmarkStart w:id="12" w:name="_Toc177528165"/>
      <w:bookmarkStart w:id="13" w:name="_Toc491679385"/>
      <w:bookmarkEnd w:id="4"/>
      <w:bookmarkEnd w:id="5"/>
      <w:bookmarkEnd w:id="6"/>
      <w:r>
        <w:rPr>
          <w:rFonts w:hint="eastAsia"/>
          <w:color w:val="000000"/>
          <w:sz w:val="28"/>
          <w:szCs w:val="28"/>
        </w:rPr>
        <w:lastRenderedPageBreak/>
        <w:t>关于硕博连读研究生培养过程的相关规定</w:t>
      </w:r>
      <w:bookmarkEnd w:id="9"/>
      <w:bookmarkEnd w:id="10"/>
      <w:bookmarkEnd w:id="11"/>
      <w:bookmarkEnd w:id="12"/>
      <w:bookmarkEnd w:id="13"/>
    </w:p>
    <w:p w:rsidR="00906087" w:rsidRDefault="00906087" w:rsidP="00906087">
      <w:pPr>
        <w:pStyle w:val="a4"/>
        <w:adjustRightInd w:val="0"/>
        <w:snapToGrid w:val="0"/>
        <w:spacing w:beforeLines="50" w:line="300" w:lineRule="auto"/>
        <w:ind w:firstLineChars="200" w:firstLine="482"/>
        <w:rPr>
          <w:rFonts w:hAnsi="宋体" w:hint="default"/>
          <w:b/>
          <w:color w:val="000000"/>
          <w:sz w:val="24"/>
          <w:szCs w:val="21"/>
        </w:rPr>
      </w:pPr>
      <w:r>
        <w:rPr>
          <w:rFonts w:hAnsi="宋体"/>
          <w:b/>
          <w:color w:val="000000"/>
          <w:sz w:val="24"/>
        </w:rPr>
        <w:t>一、培养方式</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连读研究生的培养期限为五年。其中一年至一年半的时间进行课程学习，三年半至四年的时间进行科学研究和博士学位论文工作。硕博连读研究生不进行独立的硕士学位论文工作，不颁发硕士研究生毕业证和学位证。</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硕博连读研究生学习的总学分应不少于</w:t>
      </w: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7</w:t>
      </w:r>
      <w:r>
        <w:rPr>
          <w:rFonts w:ascii="Times New Roman" w:eastAsia="宋体" w:hAnsi="Times New Roman" w:cs="Times New Roman" w:hint="eastAsia"/>
          <w:color w:val="000000"/>
          <w:kern w:val="2"/>
          <w:szCs w:val="20"/>
        </w:rPr>
        <w:t>学分（其中公共学位课程</w:t>
      </w:r>
      <w:r>
        <w:rPr>
          <w:rFonts w:ascii="Times New Roman" w:eastAsia="宋体" w:hAnsi="Times New Roman" w:cs="Times New Roman"/>
          <w:color w:val="000000"/>
          <w:kern w:val="2"/>
          <w:szCs w:val="20"/>
        </w:rPr>
        <w:t>≥</w:t>
      </w:r>
      <w:r>
        <w:rPr>
          <w:rFonts w:ascii="Times New Roman" w:eastAsia="宋体" w:hAnsi="Times New Roman" w:cs="Times New Roman" w:hint="eastAsia"/>
          <w:color w:val="000000"/>
          <w:kern w:val="2"/>
          <w:szCs w:val="20"/>
        </w:rPr>
        <w:t>7</w:t>
      </w:r>
      <w:r>
        <w:rPr>
          <w:rFonts w:ascii="Times New Roman" w:eastAsia="宋体" w:hAnsi="Times New Roman" w:cs="Times New Roman" w:hint="eastAsia"/>
          <w:color w:val="000000"/>
          <w:kern w:val="2"/>
          <w:szCs w:val="20"/>
        </w:rPr>
        <w:t>学分，学科学位课</w:t>
      </w:r>
      <w:r>
        <w:rPr>
          <w:rFonts w:ascii="Times New Roman" w:eastAsia="宋体" w:hAnsi="Times New Roman" w:cs="Times New Roman"/>
          <w:color w:val="000000"/>
          <w:kern w:val="2"/>
          <w:szCs w:val="20"/>
        </w:rPr>
        <w:t>≥12</w:t>
      </w:r>
      <w:r>
        <w:rPr>
          <w:rFonts w:ascii="Times New Roman" w:eastAsia="宋体" w:hAnsi="Times New Roman" w:cs="Times New Roman" w:hint="eastAsia"/>
          <w:color w:val="000000"/>
          <w:kern w:val="2"/>
          <w:szCs w:val="20"/>
        </w:rPr>
        <w:t>学分，选修课</w:t>
      </w:r>
      <w:r>
        <w:rPr>
          <w:rFonts w:ascii="Times New Roman" w:eastAsia="宋体" w:hAnsi="Times New Roman" w:cs="Times New Roman"/>
          <w:color w:val="000000"/>
          <w:kern w:val="2"/>
          <w:szCs w:val="20"/>
        </w:rPr>
        <w:t>≥10</w:t>
      </w:r>
      <w:r>
        <w:rPr>
          <w:rFonts w:ascii="Times New Roman" w:eastAsia="宋体" w:hAnsi="Times New Roman" w:cs="Times New Roman" w:hint="eastAsia"/>
          <w:color w:val="000000"/>
          <w:kern w:val="2"/>
          <w:szCs w:val="20"/>
        </w:rPr>
        <w:t>学分，专题及实践</w:t>
      </w:r>
      <w:r>
        <w:rPr>
          <w:rFonts w:ascii="Times New Roman" w:eastAsia="宋体" w:hAnsi="Times New Roman" w:cs="Times New Roman"/>
          <w:color w:val="000000"/>
          <w:kern w:val="2"/>
          <w:szCs w:val="20"/>
        </w:rPr>
        <w:t>≥3</w:t>
      </w:r>
      <w:r>
        <w:rPr>
          <w:rFonts w:ascii="Times New Roman" w:eastAsia="宋体" w:hAnsi="Times New Roman" w:cs="Times New Roman" w:hint="eastAsia"/>
          <w:color w:val="000000"/>
          <w:kern w:val="2"/>
          <w:szCs w:val="20"/>
        </w:rPr>
        <w:t>学分，必修环节</w:t>
      </w:r>
      <w:r>
        <w:rPr>
          <w:rFonts w:ascii="Times New Roman" w:eastAsia="宋体" w:hAnsi="Times New Roman" w:cs="Times New Roman"/>
          <w:color w:val="000000"/>
          <w:kern w:val="2"/>
          <w:szCs w:val="20"/>
        </w:rPr>
        <w:t>4</w:t>
      </w:r>
      <w:r>
        <w:rPr>
          <w:rFonts w:ascii="Times New Roman" w:eastAsia="宋体" w:hAnsi="Times New Roman" w:cs="Times New Roman" w:hint="eastAsia"/>
          <w:color w:val="000000"/>
          <w:kern w:val="2"/>
          <w:szCs w:val="20"/>
        </w:rPr>
        <w:t>学分），各类课程的具体学分分配如下：</w:t>
      </w:r>
    </w:p>
    <w:tbl>
      <w:tblPr>
        <w:tblW w:w="7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2885"/>
        <w:gridCol w:w="1779"/>
        <w:gridCol w:w="1668"/>
      </w:tblGrid>
      <w:tr w:rsidR="00906087" w:rsidTr="0033053E">
        <w:trPr>
          <w:trHeight w:val="480"/>
          <w:jc w:val="center"/>
        </w:trPr>
        <w:tc>
          <w:tcPr>
            <w:tcW w:w="4037" w:type="dxa"/>
            <w:gridSpan w:val="2"/>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课 程 类 别</w:t>
            </w:r>
          </w:p>
        </w:tc>
        <w:tc>
          <w:tcPr>
            <w:tcW w:w="1779"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学分</w:t>
            </w:r>
          </w:p>
        </w:tc>
        <w:tc>
          <w:tcPr>
            <w:tcW w:w="1668"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学时</w:t>
            </w:r>
          </w:p>
        </w:tc>
      </w:tr>
      <w:tr w:rsidR="00906087" w:rsidTr="0033053E">
        <w:trPr>
          <w:trHeight w:val="445"/>
          <w:jc w:val="center"/>
        </w:trPr>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学位课</w:t>
            </w: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思想政治理论课</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3</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54</w:t>
            </w:r>
          </w:p>
        </w:tc>
      </w:tr>
      <w:tr w:rsidR="00906087" w:rsidTr="0033053E">
        <w:trPr>
          <w:trHeight w:val="4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第一外国语（博士）</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2</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64</w:t>
            </w:r>
          </w:p>
        </w:tc>
      </w:tr>
      <w:tr w:rsidR="00906087" w:rsidTr="0033053E">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硕士数学基础课或基础理论课</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hAnsi="宋体" w:hint="eastAsia"/>
                <w:color w:val="000000"/>
                <w:sz w:val="24"/>
              </w:rPr>
              <w:t>≥</w:t>
            </w:r>
            <w:r>
              <w:rPr>
                <w:rFonts w:ascii="宋体" w:hAnsi="宋体" w:cs="宋体" w:hint="eastAsia"/>
                <w:color w:val="000000"/>
                <w:kern w:val="0"/>
                <w:szCs w:val="21"/>
              </w:rPr>
              <w:t>2</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≥32</w:t>
            </w:r>
          </w:p>
        </w:tc>
      </w:tr>
      <w:tr w:rsidR="00906087" w:rsidTr="0033053E">
        <w:trPr>
          <w:trHeight w:val="3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硕士学科基础课（学术型）</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64～96</w:t>
            </w:r>
          </w:p>
        </w:tc>
      </w:tr>
      <w:tr w:rsidR="00906087" w:rsidTr="0033053E">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硕士学科专业课（学术型）</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64～96</w:t>
            </w:r>
          </w:p>
        </w:tc>
      </w:tr>
      <w:tr w:rsidR="00906087" w:rsidTr="0033053E">
        <w:trPr>
          <w:trHeight w:val="6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博士生学科学位课</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hAnsi="宋体" w:hint="eastAsia"/>
                <w:color w:val="000000"/>
                <w:sz w:val="24"/>
              </w:rPr>
              <w:t>≥</w:t>
            </w:r>
            <w:r>
              <w:rPr>
                <w:rFonts w:ascii="宋体" w:hAnsi="宋体" w:cs="宋体" w:hint="eastAsia"/>
                <w:color w:val="000000"/>
                <w:kern w:val="0"/>
                <w:szCs w:val="21"/>
              </w:rPr>
              <w:t>2</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≥32</w:t>
            </w:r>
          </w:p>
        </w:tc>
      </w:tr>
      <w:tr w:rsidR="00906087" w:rsidTr="0033053E">
        <w:trPr>
          <w:trHeight w:val="398"/>
          <w:jc w:val="center"/>
        </w:trPr>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选修课</w:t>
            </w: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硕士选修课</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6～8</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96～128</w:t>
            </w:r>
          </w:p>
        </w:tc>
      </w:tr>
      <w:tr w:rsidR="00906087" w:rsidTr="0033053E">
        <w:trPr>
          <w:trHeight w:val="4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博士选修课</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hAnsi="宋体" w:hint="eastAsia"/>
                <w:color w:val="000000"/>
                <w:sz w:val="24"/>
              </w:rPr>
              <w:t>≥</w:t>
            </w:r>
            <w:r>
              <w:rPr>
                <w:rFonts w:ascii="宋体" w:hAnsi="宋体" w:cs="宋体" w:hint="eastAsia"/>
                <w:color w:val="000000"/>
                <w:kern w:val="0"/>
                <w:szCs w:val="21"/>
              </w:rPr>
              <w:t>4</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≥64</w:t>
            </w:r>
          </w:p>
        </w:tc>
      </w:tr>
      <w:tr w:rsidR="00906087" w:rsidTr="0033053E">
        <w:trPr>
          <w:trHeight w:val="456"/>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b/>
                <w:color w:val="000000"/>
                <w:kern w:val="0"/>
                <w:szCs w:val="21"/>
              </w:rPr>
              <w:t>专题课</w:t>
            </w: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专题及实践</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3～6</w:t>
            </w:r>
          </w:p>
        </w:tc>
        <w:tc>
          <w:tcPr>
            <w:tcW w:w="1668" w:type="dxa"/>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48～96</w:t>
            </w:r>
          </w:p>
        </w:tc>
      </w:tr>
      <w:tr w:rsidR="00906087" w:rsidTr="0033053E">
        <w:trPr>
          <w:trHeight w:val="444"/>
          <w:jc w:val="center"/>
        </w:trPr>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b/>
                <w:color w:val="000000"/>
                <w:kern w:val="0"/>
                <w:szCs w:val="21"/>
              </w:rPr>
            </w:pPr>
            <w:r>
              <w:rPr>
                <w:rFonts w:ascii="宋体" w:hAnsi="宋体" w:cs="宋体" w:hint="eastAsia"/>
                <w:b/>
                <w:color w:val="000000"/>
                <w:kern w:val="0"/>
                <w:szCs w:val="21"/>
              </w:rPr>
              <w:t>必修环节</w:t>
            </w: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综合考评</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1668" w:type="dxa"/>
            <w:vMerge w:val="restart"/>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w:t>
            </w:r>
          </w:p>
        </w:tc>
      </w:tr>
      <w:tr w:rsidR="00906087" w:rsidTr="0033053E">
        <w:trPr>
          <w:trHeight w:val="4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开题报告</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4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中期检查</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4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b/>
                <w:color w:val="000000"/>
                <w:kern w:val="0"/>
                <w:szCs w:val="21"/>
              </w:rPr>
            </w:pPr>
          </w:p>
        </w:tc>
        <w:tc>
          <w:tcPr>
            <w:tcW w:w="2885"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学术活动或社会实践</w:t>
            </w:r>
          </w:p>
        </w:tc>
        <w:tc>
          <w:tcPr>
            <w:tcW w:w="1779" w:type="dxa"/>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jc w:val="left"/>
              <w:rPr>
                <w:rFonts w:ascii="宋体" w:hAnsi="宋体" w:cs="宋体"/>
                <w:color w:val="000000"/>
                <w:kern w:val="0"/>
                <w:szCs w:val="21"/>
              </w:rPr>
            </w:pPr>
          </w:p>
        </w:tc>
      </w:tr>
      <w:tr w:rsidR="00906087" w:rsidTr="0033053E">
        <w:trPr>
          <w:trHeight w:val="464"/>
          <w:jc w:val="center"/>
        </w:trPr>
        <w:tc>
          <w:tcPr>
            <w:tcW w:w="4037" w:type="dxa"/>
            <w:gridSpan w:val="2"/>
            <w:tcBorders>
              <w:top w:val="single" w:sz="4" w:space="0" w:color="auto"/>
              <w:left w:val="single" w:sz="4" w:space="0" w:color="auto"/>
              <w:bottom w:val="single" w:sz="4" w:space="0" w:color="auto"/>
              <w:right w:val="single" w:sz="4" w:space="0" w:color="auto"/>
            </w:tcBorders>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ascii="宋体" w:hAnsi="宋体" w:cs="宋体" w:hint="eastAsia"/>
                <w:b/>
                <w:color w:val="000000"/>
                <w:kern w:val="0"/>
                <w:szCs w:val="21"/>
              </w:rPr>
              <w:t>总学分</w:t>
            </w:r>
          </w:p>
        </w:tc>
        <w:tc>
          <w:tcPr>
            <w:tcW w:w="3447" w:type="dxa"/>
            <w:gridSpan w:val="2"/>
            <w:tcBorders>
              <w:top w:val="single" w:sz="4" w:space="0" w:color="auto"/>
              <w:left w:val="single" w:sz="4" w:space="0" w:color="auto"/>
              <w:bottom w:val="single" w:sz="4" w:space="0" w:color="auto"/>
              <w:right w:val="single" w:sz="4" w:space="0" w:color="auto"/>
            </w:tcBorders>
            <w:noWrap/>
            <w:vAlign w:val="center"/>
            <w:hideMark/>
          </w:tcPr>
          <w:p w:rsidR="00906087" w:rsidRDefault="00906087" w:rsidP="0033053E">
            <w:pPr>
              <w:widowControl/>
              <w:adjustRightInd w:val="0"/>
              <w:snapToGrid w:val="0"/>
              <w:spacing w:line="300" w:lineRule="auto"/>
              <w:jc w:val="center"/>
              <w:rPr>
                <w:rFonts w:ascii="宋体" w:hAnsi="宋体" w:cs="宋体"/>
                <w:color w:val="000000"/>
                <w:kern w:val="0"/>
                <w:szCs w:val="21"/>
              </w:rPr>
            </w:pPr>
            <w:r>
              <w:rPr>
                <w:rFonts w:hAnsi="宋体" w:hint="eastAsia"/>
                <w:color w:val="000000"/>
                <w:sz w:val="24"/>
              </w:rPr>
              <w:t>≥</w:t>
            </w:r>
            <w:r>
              <w:rPr>
                <w:rFonts w:ascii="宋体" w:hAnsi="宋体" w:cs="宋体" w:hint="eastAsia"/>
                <w:color w:val="000000"/>
                <w:kern w:val="0"/>
                <w:szCs w:val="21"/>
              </w:rPr>
              <w:t>37</w:t>
            </w:r>
          </w:p>
        </w:tc>
      </w:tr>
    </w:tbl>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对实行培养模式改革学科的硕博连读生所修的硕士基础理论课学分应满足相应学科学术研究型培养方案的要求。</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对跨一级学科报考硕士研究生的学生，进行硕博连读时应在导师指导下补修本学科的部分本科课程。补修课程只记成绩，不计学分。</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对不能完成博士学位论文的硕博连读生按硕士生培养方案执行。</w:t>
      </w:r>
    </w:p>
    <w:p w:rsidR="00906087" w:rsidRDefault="00906087" w:rsidP="00906087">
      <w:pPr>
        <w:pStyle w:val="a5"/>
        <w:adjustRightInd w:val="0"/>
        <w:snapToGrid w:val="0"/>
        <w:spacing w:beforeLines="50" w:beforeAutospacing="0" w:afterLines="20" w:afterAutospacing="0"/>
        <w:ind w:firstLineChars="200" w:firstLine="480"/>
        <w:rPr>
          <w:rFonts w:ascii="Times New Roman" w:eastAsia="宋体" w:hAnsi="Times New Roman" w:cs="Times New Roman"/>
          <w:color w:val="000000"/>
          <w:kern w:val="2"/>
          <w:szCs w:val="20"/>
        </w:rPr>
      </w:pPr>
      <w:proofErr w:type="gramStart"/>
      <w:r>
        <w:rPr>
          <w:rFonts w:ascii="Times New Roman" w:eastAsia="宋体" w:hAnsi="Times New Roman" w:cs="Times New Roman" w:hint="eastAsia"/>
          <w:color w:val="000000"/>
          <w:kern w:val="2"/>
          <w:szCs w:val="20"/>
        </w:rPr>
        <w:t>对硕博</w:t>
      </w:r>
      <w:proofErr w:type="gramEnd"/>
      <w:r>
        <w:rPr>
          <w:rFonts w:ascii="Times New Roman" w:eastAsia="宋体" w:hAnsi="Times New Roman" w:cs="Times New Roman" w:hint="eastAsia"/>
          <w:color w:val="000000"/>
          <w:kern w:val="2"/>
          <w:szCs w:val="20"/>
        </w:rPr>
        <w:t>连读研究生学位论文的要求与我校对博士学位论文的要求相同。</w:t>
      </w:r>
    </w:p>
    <w:p w:rsidR="00906087" w:rsidRDefault="00906087" w:rsidP="00906087">
      <w:pPr>
        <w:pStyle w:val="a4"/>
        <w:adjustRightInd w:val="0"/>
        <w:snapToGrid w:val="0"/>
        <w:spacing w:beforeLines="50" w:line="300" w:lineRule="auto"/>
        <w:ind w:firstLineChars="200" w:firstLine="482"/>
        <w:rPr>
          <w:rFonts w:hAnsi="宋体" w:cs="Courier New" w:hint="default"/>
          <w:b/>
          <w:color w:val="000000"/>
          <w:sz w:val="24"/>
          <w:szCs w:val="21"/>
        </w:rPr>
      </w:pPr>
      <w:r>
        <w:rPr>
          <w:rFonts w:hAnsi="宋体"/>
          <w:b/>
          <w:color w:val="000000"/>
          <w:sz w:val="24"/>
        </w:rPr>
        <w:lastRenderedPageBreak/>
        <w:t>二、硕博连读研究生综合考评</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连读生在第二学年结束时参加各院（系）组织的博士生综合考评，考评方式和内容按我校博士生综合考评的有关要求进行。通过考评的学生继续进行博士生阶段的科研和论文工作，在完成各培养环节要求，并在规定的年限内通过博士学位论文答辩后获得博士毕业证书和学位证书。</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硕博连读生原则上不允许转为硕士生培养。如因综合考评不通过等特殊原因，可在第二学年结束时转为硕士生培养，有关要求如下：</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）硕博连读生转为硕士生培养，按硕士生学籍进行管理，自入学起培养年限为三年；</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w:t>
      </w:r>
      <w:r>
        <w:rPr>
          <w:rFonts w:ascii="Times New Roman" w:eastAsia="宋体" w:hAnsi="Times New Roman" w:cs="Times New Roman"/>
          <w:color w:val="000000"/>
          <w:kern w:val="2"/>
          <w:szCs w:val="20"/>
        </w:rPr>
        <w:t>2</w:t>
      </w:r>
      <w:r>
        <w:rPr>
          <w:rFonts w:ascii="Times New Roman" w:eastAsia="宋体" w:hAnsi="Times New Roman" w:cs="Times New Roman" w:hint="eastAsia"/>
          <w:color w:val="000000"/>
          <w:kern w:val="2"/>
          <w:szCs w:val="20"/>
        </w:rPr>
        <w:t>）申请硕士学位论文答辩时，应达到硕博连读生发表学术文章的要求（具体标准由各学院确定）。</w:t>
      </w:r>
    </w:p>
    <w:p w:rsidR="00906087" w:rsidRDefault="00906087" w:rsidP="00906087">
      <w:pPr>
        <w:pStyle w:val="a4"/>
        <w:adjustRightInd w:val="0"/>
        <w:snapToGrid w:val="0"/>
        <w:spacing w:beforeLines="50" w:line="300" w:lineRule="auto"/>
        <w:ind w:firstLineChars="200" w:firstLine="482"/>
        <w:rPr>
          <w:rFonts w:hAnsi="宋体" w:cs="Courier New" w:hint="default"/>
          <w:b/>
          <w:color w:val="000000"/>
          <w:sz w:val="24"/>
          <w:szCs w:val="21"/>
        </w:rPr>
      </w:pPr>
      <w:r>
        <w:rPr>
          <w:rFonts w:hAnsi="宋体"/>
          <w:b/>
          <w:color w:val="000000"/>
          <w:sz w:val="24"/>
        </w:rPr>
        <w:t>三、论文开题</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研究生一般应于入学后第三学年结束前完成开题报告。学位论文开题报告应该是一份相对完整的博士学位论文第一阶段工作的总结报告。开题报告的相关事项见我校《博士学位研究生学位论文开题报告的要求》。</w:t>
      </w:r>
    </w:p>
    <w:p w:rsidR="00906087" w:rsidRDefault="00906087" w:rsidP="00906087">
      <w:pPr>
        <w:pStyle w:val="a4"/>
        <w:adjustRightInd w:val="0"/>
        <w:snapToGrid w:val="0"/>
        <w:spacing w:beforeLines="50" w:line="300" w:lineRule="auto"/>
        <w:ind w:firstLineChars="200" w:firstLine="482"/>
        <w:rPr>
          <w:rFonts w:hAnsi="宋体" w:cs="Courier New" w:hint="default"/>
          <w:b/>
          <w:color w:val="000000"/>
          <w:sz w:val="24"/>
          <w:szCs w:val="21"/>
        </w:rPr>
      </w:pPr>
      <w:r>
        <w:rPr>
          <w:rFonts w:hAnsi="宋体"/>
          <w:b/>
          <w:color w:val="000000"/>
          <w:sz w:val="24"/>
        </w:rPr>
        <w:t>四、中期检查</w:t>
      </w:r>
    </w:p>
    <w:p w:rsidR="00906087"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Pr>
          <w:rFonts w:ascii="Times New Roman" w:eastAsia="宋体" w:hAnsi="Times New Roman" w:cs="Times New Roman" w:hint="eastAsia"/>
          <w:color w:val="000000"/>
          <w:kern w:val="2"/>
          <w:szCs w:val="20"/>
        </w:rPr>
        <w:t>硕博研究生最迟应于入学后第四学年结束前完成中期检查工作。中期检查的相关事项见我校《博士研究生学位论文中期检查的有关要求》。</w:t>
      </w:r>
    </w:p>
    <w:p w:rsidR="00906087" w:rsidRPr="00D20205" w:rsidRDefault="00906087" w:rsidP="00906087">
      <w:pPr>
        <w:pStyle w:val="a4"/>
        <w:adjustRightInd w:val="0"/>
        <w:snapToGrid w:val="0"/>
        <w:spacing w:beforeLines="50" w:line="300" w:lineRule="auto"/>
        <w:ind w:firstLineChars="200" w:firstLine="482"/>
        <w:rPr>
          <w:rFonts w:hAnsi="宋体" w:hint="default"/>
          <w:b/>
          <w:color w:val="000000"/>
          <w:sz w:val="24"/>
        </w:rPr>
      </w:pPr>
      <w:r w:rsidRPr="00D20205">
        <w:rPr>
          <w:rFonts w:hAnsi="宋体"/>
          <w:b/>
          <w:color w:val="000000"/>
          <w:sz w:val="24"/>
        </w:rPr>
        <w:t>五、</w:t>
      </w:r>
      <w:proofErr w:type="gramStart"/>
      <w:r w:rsidRPr="00D20205">
        <w:rPr>
          <w:rFonts w:hAnsi="宋体"/>
          <w:b/>
          <w:color w:val="000000"/>
          <w:sz w:val="24"/>
        </w:rPr>
        <w:t>直博生</w:t>
      </w:r>
      <w:proofErr w:type="gramEnd"/>
    </w:p>
    <w:p w:rsidR="00906087" w:rsidRPr="00D20205"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proofErr w:type="gramStart"/>
      <w:r w:rsidRPr="00D20205">
        <w:rPr>
          <w:rFonts w:ascii="Times New Roman" w:eastAsia="宋体" w:hAnsi="Times New Roman" w:cs="Times New Roman"/>
          <w:color w:val="000000"/>
          <w:kern w:val="2"/>
          <w:szCs w:val="20"/>
        </w:rPr>
        <w:t>直博生</w:t>
      </w:r>
      <w:proofErr w:type="gramEnd"/>
      <w:r w:rsidRPr="00D20205">
        <w:rPr>
          <w:rFonts w:ascii="Times New Roman" w:eastAsia="宋体" w:hAnsi="Times New Roman" w:cs="Times New Roman"/>
          <w:color w:val="000000"/>
          <w:kern w:val="2"/>
          <w:szCs w:val="20"/>
        </w:rPr>
        <w:t>的培养参照本规定执行。</w:t>
      </w:r>
    </w:p>
    <w:p w:rsidR="00906087" w:rsidRPr="00D20205"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r w:rsidRPr="00D20205">
        <w:rPr>
          <w:rFonts w:ascii="Times New Roman" w:eastAsia="宋体" w:hAnsi="Times New Roman" w:cs="Times New Roman"/>
          <w:color w:val="000000"/>
          <w:kern w:val="2"/>
          <w:szCs w:val="20"/>
        </w:rPr>
        <w:t>本校</w:t>
      </w:r>
      <w:proofErr w:type="gramStart"/>
      <w:r w:rsidRPr="00D20205">
        <w:rPr>
          <w:rFonts w:ascii="Times New Roman" w:eastAsia="宋体" w:hAnsi="Times New Roman" w:cs="Times New Roman"/>
          <w:color w:val="000000"/>
          <w:kern w:val="2"/>
          <w:szCs w:val="20"/>
        </w:rPr>
        <w:t>优秀直博生</w:t>
      </w:r>
      <w:proofErr w:type="gramEnd"/>
      <w:r w:rsidRPr="00D20205">
        <w:rPr>
          <w:rFonts w:ascii="Times New Roman" w:eastAsia="宋体" w:hAnsi="Times New Roman" w:cs="Times New Roman"/>
          <w:color w:val="000000"/>
          <w:kern w:val="2"/>
          <w:szCs w:val="20"/>
        </w:rPr>
        <w:t>若在本科阶段提前学习了研究生课程，并提前进入研究课题，培养年限可为</w:t>
      </w:r>
      <w:r w:rsidRPr="00D20205">
        <w:rPr>
          <w:rFonts w:ascii="Times New Roman" w:eastAsia="宋体" w:hAnsi="Times New Roman" w:cs="Times New Roman"/>
          <w:color w:val="000000"/>
          <w:kern w:val="2"/>
          <w:szCs w:val="20"/>
        </w:rPr>
        <w:t>4</w:t>
      </w:r>
      <w:r w:rsidRPr="00D20205">
        <w:rPr>
          <w:rFonts w:ascii="Times New Roman" w:eastAsia="宋体" w:hAnsi="Times New Roman" w:cs="Times New Roman"/>
          <w:color w:val="000000"/>
          <w:kern w:val="2"/>
          <w:szCs w:val="20"/>
        </w:rPr>
        <w:t>年，具体培养过程参照《哈尔滨工业大学攻读博士学位研究生培养工作的规定》执行。</w:t>
      </w:r>
    </w:p>
    <w:p w:rsidR="00906087" w:rsidRPr="00D20205" w:rsidRDefault="00906087" w:rsidP="00906087">
      <w:pPr>
        <w:pStyle w:val="a5"/>
        <w:adjustRightInd w:val="0"/>
        <w:snapToGrid w:val="0"/>
        <w:spacing w:beforeLines="20" w:beforeAutospacing="0" w:afterLines="20" w:afterAutospacing="0"/>
        <w:ind w:firstLineChars="200" w:firstLine="480"/>
        <w:rPr>
          <w:rFonts w:ascii="Times New Roman" w:eastAsia="宋体" w:hAnsi="Times New Roman" w:cs="Times New Roman"/>
          <w:color w:val="000000"/>
          <w:kern w:val="2"/>
          <w:szCs w:val="20"/>
        </w:rPr>
      </w:pPr>
    </w:p>
    <w:p w:rsidR="00906087" w:rsidRDefault="00906087" w:rsidP="00906087">
      <w:pPr>
        <w:jc w:val="center"/>
        <w:rPr>
          <w:rFonts w:hint="eastAsia"/>
          <w:b/>
          <w:sz w:val="28"/>
          <w:szCs w:val="28"/>
        </w:rPr>
      </w:pPr>
    </w:p>
    <w:p w:rsidR="00906087" w:rsidRDefault="00906087" w:rsidP="00906087">
      <w:pPr>
        <w:jc w:val="center"/>
        <w:rPr>
          <w:rFonts w:hint="eastAsia"/>
          <w:b/>
          <w:sz w:val="28"/>
          <w:szCs w:val="28"/>
        </w:rPr>
      </w:pPr>
    </w:p>
    <w:p w:rsidR="00906087" w:rsidRDefault="00906087" w:rsidP="00906087">
      <w:pPr>
        <w:jc w:val="center"/>
        <w:rPr>
          <w:rFonts w:hint="eastAsia"/>
          <w:b/>
          <w:sz w:val="28"/>
          <w:szCs w:val="28"/>
        </w:rPr>
      </w:pPr>
    </w:p>
    <w:p w:rsidR="00906087" w:rsidRDefault="00906087" w:rsidP="00906087">
      <w:pPr>
        <w:jc w:val="center"/>
        <w:rPr>
          <w:rFonts w:hint="eastAsia"/>
          <w:b/>
          <w:sz w:val="28"/>
          <w:szCs w:val="28"/>
        </w:rPr>
      </w:pPr>
    </w:p>
    <w:p w:rsidR="00906087" w:rsidRDefault="00906087" w:rsidP="00906087">
      <w:pPr>
        <w:jc w:val="center"/>
        <w:rPr>
          <w:rFonts w:hint="eastAsia"/>
          <w:b/>
          <w:sz w:val="28"/>
          <w:szCs w:val="28"/>
        </w:rPr>
      </w:pPr>
    </w:p>
    <w:p w:rsidR="00906087" w:rsidRPr="00906087" w:rsidRDefault="00906087" w:rsidP="00906087">
      <w:pPr>
        <w:jc w:val="center"/>
        <w:rPr>
          <w:rFonts w:hint="eastAsia"/>
          <w:b/>
          <w:sz w:val="28"/>
          <w:szCs w:val="28"/>
        </w:rPr>
      </w:pPr>
    </w:p>
    <w:p w:rsidR="00906087" w:rsidRPr="003261ED" w:rsidRDefault="00906087" w:rsidP="00906087">
      <w:pPr>
        <w:jc w:val="center"/>
        <w:rPr>
          <w:b/>
          <w:sz w:val="28"/>
          <w:szCs w:val="28"/>
        </w:rPr>
      </w:pPr>
      <w:r w:rsidRPr="003261ED">
        <w:rPr>
          <w:rFonts w:hint="eastAsia"/>
          <w:b/>
          <w:sz w:val="28"/>
          <w:szCs w:val="28"/>
        </w:rPr>
        <w:lastRenderedPageBreak/>
        <w:t>博士生培养方案</w:t>
      </w:r>
    </w:p>
    <w:p w:rsidR="00906087" w:rsidRPr="006E142D" w:rsidRDefault="00906087" w:rsidP="00906087">
      <w:pPr>
        <w:pStyle w:val="1"/>
        <w:jc w:val="center"/>
      </w:pPr>
      <w:bookmarkStart w:id="14" w:name="_Toc428876385"/>
      <w:bookmarkStart w:id="15" w:name="_Toc491679393"/>
      <w:r w:rsidRPr="006E142D">
        <w:rPr>
          <w:rFonts w:cs="宋体" w:hint="eastAsia"/>
        </w:rPr>
        <w:t>学科代码：</w:t>
      </w:r>
      <w:r w:rsidRPr="006E142D">
        <w:t>0804</w:t>
      </w:r>
      <w:r w:rsidRPr="006E142D">
        <w:rPr>
          <w:rFonts w:cs="宋体" w:hint="eastAsia"/>
        </w:rPr>
        <w:t>学科名称：仪器科学与技术</w:t>
      </w:r>
      <w:bookmarkEnd w:id="14"/>
      <w:bookmarkEnd w:id="15"/>
    </w:p>
    <w:p w:rsidR="00906087" w:rsidRPr="006E142D" w:rsidRDefault="00906087" w:rsidP="00906087">
      <w:pPr>
        <w:pStyle w:val="3"/>
      </w:pPr>
      <w:r w:rsidRPr="006E142D">
        <w:rPr>
          <w:rFonts w:hint="eastAsia"/>
        </w:rPr>
        <w:t>一、研究方向</w:t>
      </w:r>
    </w:p>
    <w:p w:rsidR="00906087" w:rsidRPr="006E142D" w:rsidRDefault="00906087" w:rsidP="00906087">
      <w:pPr>
        <w:adjustRightInd w:val="0"/>
        <w:snapToGrid w:val="0"/>
        <w:spacing w:line="300" w:lineRule="auto"/>
        <w:ind w:firstLine="420"/>
        <w:rPr>
          <w:rFonts w:ascii="Times New Roman" w:eastAsia="宋体" w:hAnsi="Times New Roman" w:cs="Times New Roman"/>
          <w:szCs w:val="21"/>
        </w:rPr>
      </w:pPr>
      <w:r w:rsidRPr="006E142D">
        <w:rPr>
          <w:rFonts w:ascii="Times New Roman" w:eastAsia="宋体" w:hAnsi="Times New Roman" w:cs="Times New Roman"/>
          <w:szCs w:val="21"/>
        </w:rPr>
        <w:t xml:space="preserve">1. </w:t>
      </w:r>
      <w:r w:rsidRPr="006E142D">
        <w:rPr>
          <w:rFonts w:ascii="Times New Roman" w:eastAsia="宋体" w:hAnsi="Times New Roman" w:cs="宋体" w:hint="eastAsia"/>
          <w:szCs w:val="21"/>
        </w:rPr>
        <w:t>纳米测量与超精密仪器技术</w:t>
      </w:r>
      <w:r w:rsidRPr="006E142D">
        <w:rPr>
          <w:rFonts w:ascii="Times New Roman" w:eastAsia="宋体" w:hAnsi="Times New Roman" w:cs="Times New Roman"/>
          <w:szCs w:val="21"/>
        </w:rPr>
        <w:t xml:space="preserve">              2. </w:t>
      </w:r>
      <w:r w:rsidRPr="006E142D">
        <w:rPr>
          <w:rFonts w:ascii="Times New Roman" w:eastAsia="宋体" w:hAnsi="Times New Roman" w:cs="宋体" w:hint="eastAsia"/>
          <w:szCs w:val="21"/>
        </w:rPr>
        <w:t>激光测量与探测技术</w:t>
      </w:r>
    </w:p>
    <w:p w:rsidR="00906087" w:rsidRPr="006E142D" w:rsidRDefault="00906087" w:rsidP="00906087">
      <w:pPr>
        <w:adjustRightInd w:val="0"/>
        <w:snapToGrid w:val="0"/>
        <w:spacing w:line="300" w:lineRule="auto"/>
        <w:ind w:firstLine="420"/>
        <w:rPr>
          <w:rFonts w:ascii="Times New Roman" w:eastAsia="宋体" w:hAnsi="Times New Roman" w:cs="Times New Roman"/>
          <w:szCs w:val="21"/>
        </w:rPr>
      </w:pPr>
      <w:r w:rsidRPr="006E142D">
        <w:rPr>
          <w:rFonts w:ascii="Times New Roman" w:eastAsia="宋体" w:hAnsi="Times New Roman" w:cs="Times New Roman"/>
          <w:szCs w:val="21"/>
        </w:rPr>
        <w:t xml:space="preserve">3. </w:t>
      </w:r>
      <w:r w:rsidRPr="006E142D">
        <w:rPr>
          <w:rFonts w:ascii="Times New Roman" w:eastAsia="宋体" w:hAnsi="Times New Roman" w:cs="宋体" w:hint="eastAsia"/>
          <w:szCs w:val="21"/>
        </w:rPr>
        <w:t>光电测量技术与仪器</w:t>
      </w:r>
      <w:r w:rsidRPr="006E142D">
        <w:rPr>
          <w:rFonts w:ascii="Times New Roman" w:eastAsia="宋体" w:hAnsi="Times New Roman" w:cs="Times New Roman"/>
          <w:szCs w:val="21"/>
        </w:rPr>
        <w:t xml:space="preserve">                    4. </w:t>
      </w:r>
      <w:r w:rsidRPr="006E142D">
        <w:rPr>
          <w:rFonts w:ascii="Times New Roman" w:eastAsia="宋体" w:hAnsi="Times New Roman" w:cs="宋体" w:hint="eastAsia"/>
          <w:szCs w:val="21"/>
        </w:rPr>
        <w:t>辐射测温及热物性测试技术</w:t>
      </w:r>
    </w:p>
    <w:p w:rsidR="00906087" w:rsidRPr="006E142D" w:rsidRDefault="00906087" w:rsidP="00906087">
      <w:pPr>
        <w:adjustRightInd w:val="0"/>
        <w:snapToGrid w:val="0"/>
        <w:spacing w:line="300" w:lineRule="auto"/>
        <w:ind w:firstLine="420"/>
        <w:rPr>
          <w:rFonts w:ascii="Times New Roman" w:eastAsia="宋体" w:hAnsi="Times New Roman" w:cs="Times New Roman"/>
          <w:szCs w:val="21"/>
        </w:rPr>
      </w:pPr>
      <w:r w:rsidRPr="006E142D">
        <w:rPr>
          <w:rFonts w:ascii="Times New Roman" w:eastAsia="宋体" w:hAnsi="Times New Roman" w:cs="Times New Roman"/>
          <w:szCs w:val="21"/>
        </w:rPr>
        <w:t xml:space="preserve">5. </w:t>
      </w:r>
      <w:r w:rsidRPr="006E142D">
        <w:rPr>
          <w:rFonts w:ascii="Times New Roman" w:eastAsia="宋体" w:hAnsi="Times New Roman" w:cs="宋体" w:hint="eastAsia"/>
          <w:szCs w:val="21"/>
        </w:rPr>
        <w:t>图像与信息处理技术</w:t>
      </w:r>
      <w:r w:rsidRPr="006E142D">
        <w:rPr>
          <w:rFonts w:ascii="Times New Roman" w:eastAsia="宋体" w:hAnsi="Times New Roman" w:cs="Times New Roman"/>
          <w:szCs w:val="21"/>
        </w:rPr>
        <w:t xml:space="preserve">                    6. </w:t>
      </w:r>
      <w:r w:rsidRPr="006E142D">
        <w:rPr>
          <w:rFonts w:ascii="Times New Roman" w:eastAsia="宋体" w:hAnsi="Times New Roman" w:cs="宋体" w:hint="eastAsia"/>
          <w:szCs w:val="21"/>
        </w:rPr>
        <w:t>电子测量与仪器技术</w:t>
      </w:r>
    </w:p>
    <w:p w:rsidR="00906087" w:rsidRPr="006E142D" w:rsidRDefault="00906087" w:rsidP="00906087">
      <w:pPr>
        <w:adjustRightInd w:val="0"/>
        <w:snapToGrid w:val="0"/>
        <w:spacing w:line="300" w:lineRule="auto"/>
        <w:ind w:firstLine="420"/>
        <w:rPr>
          <w:rFonts w:ascii="Times New Roman" w:eastAsia="宋体" w:hAnsi="Times New Roman" w:cs="Times New Roman"/>
          <w:szCs w:val="21"/>
        </w:rPr>
      </w:pPr>
      <w:r w:rsidRPr="006E142D">
        <w:rPr>
          <w:rFonts w:ascii="Times New Roman" w:eastAsia="宋体" w:hAnsi="Times New Roman" w:cs="Times New Roman"/>
          <w:szCs w:val="21"/>
        </w:rPr>
        <w:t xml:space="preserve">7. </w:t>
      </w:r>
      <w:r w:rsidRPr="006E142D">
        <w:rPr>
          <w:rFonts w:ascii="Times New Roman" w:eastAsia="宋体" w:hAnsi="Times New Roman" w:cs="宋体" w:hint="eastAsia"/>
          <w:szCs w:val="21"/>
        </w:rPr>
        <w:t>传感器技术与微光机电系统</w:t>
      </w:r>
      <w:r w:rsidRPr="006E142D">
        <w:rPr>
          <w:rFonts w:ascii="Times New Roman" w:eastAsia="宋体" w:hAnsi="Times New Roman" w:cs="Times New Roman"/>
          <w:szCs w:val="21"/>
        </w:rPr>
        <w:t xml:space="preserve">              8. </w:t>
      </w:r>
      <w:r w:rsidRPr="006E142D">
        <w:rPr>
          <w:rFonts w:ascii="Times New Roman" w:eastAsia="宋体" w:hAnsi="Times New Roman" w:cs="宋体" w:hint="eastAsia"/>
          <w:szCs w:val="21"/>
        </w:rPr>
        <w:t>自动化测试与控制技术</w:t>
      </w:r>
    </w:p>
    <w:p w:rsidR="00906087" w:rsidRPr="006E142D" w:rsidRDefault="00906087" w:rsidP="00906087">
      <w:pPr>
        <w:adjustRightInd w:val="0"/>
        <w:snapToGrid w:val="0"/>
        <w:spacing w:line="300" w:lineRule="auto"/>
        <w:ind w:firstLine="420"/>
        <w:rPr>
          <w:rFonts w:ascii="Times New Roman" w:eastAsia="宋体" w:hAnsi="Times New Roman" w:cs="Times New Roman"/>
          <w:szCs w:val="21"/>
        </w:rPr>
      </w:pPr>
      <w:r w:rsidRPr="006E142D">
        <w:rPr>
          <w:rFonts w:ascii="Times New Roman" w:eastAsia="宋体" w:hAnsi="Times New Roman" w:cs="Times New Roman"/>
          <w:szCs w:val="21"/>
        </w:rPr>
        <w:t xml:space="preserve">9. </w:t>
      </w:r>
      <w:r w:rsidRPr="006E142D">
        <w:rPr>
          <w:rFonts w:ascii="Times New Roman" w:eastAsia="宋体" w:hAnsi="Times New Roman" w:cs="宋体" w:hint="eastAsia"/>
          <w:szCs w:val="21"/>
        </w:rPr>
        <w:t>测试与等效试验技术</w:t>
      </w:r>
      <w:r w:rsidRPr="006E142D">
        <w:rPr>
          <w:rFonts w:ascii="Times New Roman" w:eastAsia="宋体" w:hAnsi="Times New Roman" w:cs="Times New Roman"/>
          <w:szCs w:val="21"/>
        </w:rPr>
        <w:t xml:space="preserve">                    10. </w:t>
      </w:r>
      <w:r w:rsidRPr="006E142D">
        <w:rPr>
          <w:rFonts w:ascii="Times New Roman" w:eastAsia="宋体" w:hAnsi="Times New Roman" w:cs="宋体" w:hint="eastAsia"/>
          <w:szCs w:val="21"/>
        </w:rPr>
        <w:t>质量特性测量技术与仪器</w:t>
      </w:r>
    </w:p>
    <w:p w:rsidR="00906087" w:rsidRPr="006E142D" w:rsidRDefault="00906087" w:rsidP="00906087">
      <w:pPr>
        <w:pStyle w:val="3"/>
        <w:rPr>
          <w:rFonts w:cs="Times New Roman"/>
        </w:rPr>
      </w:pPr>
      <w:r w:rsidRPr="006E142D">
        <w:rPr>
          <w:rFonts w:hint="eastAsia"/>
        </w:rPr>
        <w:t>二、课程设置</w:t>
      </w:r>
    </w:p>
    <w:tbl>
      <w:tblPr>
        <w:tblpPr w:leftFromText="180" w:rightFromText="180" w:vertAnchor="text" w:horzAnchor="page" w:tblpXSpec="center" w:tblpY="30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1276"/>
        <w:gridCol w:w="3606"/>
        <w:gridCol w:w="1130"/>
        <w:gridCol w:w="610"/>
        <w:gridCol w:w="725"/>
        <w:gridCol w:w="595"/>
      </w:tblGrid>
      <w:tr w:rsidR="00906087" w:rsidRPr="006E142D" w:rsidTr="0033053E">
        <w:trPr>
          <w:cantSplit/>
          <w:trHeight w:val="543"/>
          <w:jc w:val="center"/>
        </w:trPr>
        <w:tc>
          <w:tcPr>
            <w:tcW w:w="95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类别</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课程编号</w:t>
            </w:r>
          </w:p>
        </w:tc>
        <w:tc>
          <w:tcPr>
            <w:tcW w:w="360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课程名称</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学时</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课内</w:t>
            </w:r>
            <w:r w:rsidRPr="006E142D">
              <w:rPr>
                <w:rFonts w:ascii="Times New Roman" w:eastAsia="宋体" w:hAnsi="Times New Roman" w:cs="Times New Roman"/>
                <w:szCs w:val="21"/>
              </w:rPr>
              <w:t>/</w:t>
            </w:r>
            <w:r w:rsidRPr="006E142D">
              <w:rPr>
                <w:rFonts w:ascii="Times New Roman" w:eastAsia="宋体" w:hAnsi="Times New Roman" w:cs="宋体" w:hint="eastAsia"/>
                <w:szCs w:val="21"/>
              </w:rPr>
              <w:t>实验</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学分</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开课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时间</w:t>
            </w: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备注</w:t>
            </w:r>
          </w:p>
        </w:tc>
      </w:tr>
      <w:tr w:rsidR="00906087" w:rsidRPr="006E142D" w:rsidTr="0033053E">
        <w:trPr>
          <w:cantSplit/>
          <w:trHeight w:val="285"/>
          <w:jc w:val="center"/>
        </w:trPr>
        <w:tc>
          <w:tcPr>
            <w:tcW w:w="956" w:type="dxa"/>
            <w:vMerge w:val="restart"/>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公共课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(G)</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B0800000Q</w:t>
            </w: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中国马克思主义与当代</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36</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45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博士生第一外国语</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64</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学科</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学位课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(XW)</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B0501001Q</w:t>
            </w: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量子理论导论</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B0501002C</w:t>
            </w: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测量误差与不确定度评估</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B0501003Q</w:t>
            </w: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现代信号处理</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B0501004Q</w:t>
            </w: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传感器信息处理技术</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1269"/>
          <w:jc w:val="center"/>
        </w:trPr>
        <w:tc>
          <w:tcPr>
            <w:tcW w:w="95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选修课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(X)</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在导师指导下，从本学科学术型硕士选修课、与本学科相关的其它学科研究生课程中，选择与研究主题相关课程，并至少达到</w:t>
            </w:r>
            <w:r w:rsidRPr="006E142D">
              <w:rPr>
                <w:rFonts w:ascii="Times New Roman" w:eastAsia="宋体" w:hAnsi="Times New Roman" w:cs="Times New Roman"/>
                <w:szCs w:val="21"/>
              </w:rPr>
              <w:t>4</w:t>
            </w:r>
            <w:r w:rsidRPr="006E142D">
              <w:rPr>
                <w:rFonts w:ascii="Times New Roman" w:eastAsia="宋体" w:hAnsi="Times New Roman" w:cs="宋体" w:hint="eastAsia"/>
                <w:szCs w:val="21"/>
              </w:rPr>
              <w:t>学分。</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必修</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环节</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综合考评</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开题报告</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中期检查</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学术活动</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r w:rsidRPr="006E142D">
              <w:rPr>
                <w:rFonts w:ascii="Times New Roman" w:eastAsia="宋体" w:hAnsi="Times New Roman" w:cs="宋体" w:hint="eastAsia"/>
                <w:szCs w:val="21"/>
              </w:rPr>
              <w:t>选</w:t>
            </w:r>
            <w:r w:rsidRPr="006E142D">
              <w:rPr>
                <w:rFonts w:ascii="Times New Roman" w:eastAsia="宋体" w:hAnsi="Times New Roman" w:cs="Times New Roman"/>
                <w:szCs w:val="21"/>
              </w:rPr>
              <w:t>1</w:t>
            </w:r>
          </w:p>
        </w:tc>
      </w:tr>
      <w:tr w:rsidR="00906087" w:rsidRPr="006E142D" w:rsidTr="0033053E">
        <w:trPr>
          <w:cantSplit/>
          <w:trHeight w:val="285"/>
          <w:jc w:val="center"/>
        </w:trPr>
        <w:tc>
          <w:tcPr>
            <w:tcW w:w="95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社会实践</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595"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377"/>
          <w:jc w:val="center"/>
        </w:trPr>
        <w:tc>
          <w:tcPr>
            <w:tcW w:w="95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补修课</w:t>
            </w:r>
            <w:r w:rsidRPr="006E142D">
              <w:rPr>
                <w:rFonts w:ascii="Times New Roman" w:eastAsia="宋体" w:hAnsi="Times New Roman" w:cs="Times New Roman"/>
                <w:szCs w:val="21"/>
              </w:rPr>
              <w:t>(BX)</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Merge w:val="restart"/>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导师根据研究工作需要和博士生的学科基础选择课程</w:t>
            </w: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85"/>
          <w:jc w:val="center"/>
        </w:trPr>
        <w:tc>
          <w:tcPr>
            <w:tcW w:w="95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自选课</w:t>
            </w:r>
            <w:r w:rsidRPr="006E142D">
              <w:rPr>
                <w:rFonts w:ascii="Times New Roman" w:eastAsia="宋体" w:hAnsi="Times New Roman" w:cs="Times New Roman"/>
                <w:szCs w:val="21"/>
              </w:rPr>
              <w:t>(ZX)</w:t>
            </w:r>
          </w:p>
        </w:tc>
        <w:tc>
          <w:tcPr>
            <w:tcW w:w="127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60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13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1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w:t>
            </w:r>
          </w:p>
        </w:tc>
        <w:tc>
          <w:tcPr>
            <w:tcW w:w="72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595"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bl>
    <w:p w:rsidR="00906087" w:rsidRPr="006E142D" w:rsidRDefault="00906087" w:rsidP="00906087">
      <w:pPr>
        <w:adjustRightInd w:val="0"/>
        <w:snapToGrid w:val="0"/>
        <w:spacing w:line="300" w:lineRule="auto"/>
        <w:rPr>
          <w:rFonts w:ascii="Times New Roman" w:eastAsia="宋体" w:hAnsi="Times New Roman" w:cs="Times New Roman"/>
          <w:szCs w:val="21"/>
        </w:rPr>
      </w:pPr>
    </w:p>
    <w:p w:rsidR="00906087" w:rsidRPr="006E142D" w:rsidRDefault="00906087" w:rsidP="00906087">
      <w:pPr>
        <w:adjustRightInd w:val="0"/>
        <w:snapToGrid w:val="0"/>
        <w:spacing w:line="300" w:lineRule="auto"/>
        <w:ind w:firstLineChars="200" w:firstLine="420"/>
        <w:rPr>
          <w:rFonts w:ascii="Times New Roman" w:eastAsia="宋体" w:hAnsi="Times New Roman" w:cs="Times New Roman"/>
          <w:szCs w:val="21"/>
        </w:rPr>
      </w:pPr>
    </w:p>
    <w:p w:rsidR="00906087" w:rsidRPr="006E142D" w:rsidRDefault="00906087" w:rsidP="00906087">
      <w:pPr>
        <w:adjustRightInd w:val="0"/>
        <w:snapToGrid w:val="0"/>
        <w:spacing w:line="300" w:lineRule="auto"/>
        <w:ind w:firstLineChars="200" w:firstLine="420"/>
        <w:rPr>
          <w:rFonts w:ascii="Times New Roman" w:eastAsia="宋体" w:hAnsi="Times New Roman" w:cs="Times New Roman"/>
          <w:szCs w:val="21"/>
        </w:rPr>
      </w:pPr>
      <w:r w:rsidRPr="006E142D">
        <w:rPr>
          <w:rFonts w:ascii="Times New Roman" w:eastAsia="宋体" w:hAnsi="Times New Roman" w:cs="宋体" w:hint="eastAsia"/>
          <w:szCs w:val="21"/>
        </w:rPr>
        <w:t>学术活动的要求：在攻读博士学位期间至少参加</w:t>
      </w:r>
      <w:r w:rsidRPr="006E142D">
        <w:rPr>
          <w:rFonts w:ascii="Times New Roman" w:eastAsia="宋体" w:hAnsi="Times New Roman" w:cs="Times New Roman"/>
          <w:szCs w:val="21"/>
        </w:rPr>
        <w:t>2</w:t>
      </w:r>
      <w:r w:rsidRPr="006E142D">
        <w:rPr>
          <w:rFonts w:ascii="Times New Roman" w:eastAsia="宋体" w:hAnsi="Times New Roman" w:cs="宋体" w:hint="eastAsia"/>
          <w:szCs w:val="21"/>
        </w:rPr>
        <w:t>次重要国际学术会议、大型国内学术会议，并提交相关材料给研究生秘书保管，记</w:t>
      </w:r>
      <w:r w:rsidRPr="006E142D">
        <w:rPr>
          <w:rFonts w:ascii="Times New Roman" w:eastAsia="宋体" w:hAnsi="Times New Roman" w:cs="Times New Roman"/>
          <w:szCs w:val="21"/>
        </w:rPr>
        <w:t>1</w:t>
      </w:r>
      <w:r w:rsidRPr="006E142D">
        <w:rPr>
          <w:rFonts w:ascii="Times New Roman" w:eastAsia="宋体" w:hAnsi="Times New Roman" w:cs="宋体" w:hint="eastAsia"/>
          <w:szCs w:val="21"/>
        </w:rPr>
        <w:t>学分；至少选听</w:t>
      </w:r>
      <w:r w:rsidRPr="006E142D">
        <w:rPr>
          <w:rFonts w:ascii="Times New Roman" w:eastAsia="宋体" w:hAnsi="Times New Roman" w:cs="Times New Roman"/>
          <w:szCs w:val="21"/>
        </w:rPr>
        <w:t>5</w:t>
      </w:r>
      <w:r w:rsidRPr="006E142D">
        <w:rPr>
          <w:rFonts w:ascii="Times New Roman" w:eastAsia="宋体" w:hAnsi="Times New Roman" w:cs="宋体" w:hint="eastAsia"/>
          <w:szCs w:val="21"/>
        </w:rPr>
        <w:t>个校内举办的各种学术报告和学术讲座等学术活动，按要求撰写心得，导师签字后交研究生秘书保管，记</w:t>
      </w:r>
      <w:r w:rsidRPr="006E142D">
        <w:rPr>
          <w:rFonts w:ascii="Times New Roman" w:eastAsia="宋体" w:hAnsi="Times New Roman" w:cs="Times New Roman"/>
          <w:szCs w:val="21"/>
        </w:rPr>
        <w:t>1</w:t>
      </w:r>
      <w:r w:rsidRPr="006E142D">
        <w:rPr>
          <w:rFonts w:ascii="Times New Roman" w:eastAsia="宋体" w:hAnsi="Times New Roman" w:cs="宋体" w:hint="eastAsia"/>
          <w:szCs w:val="21"/>
        </w:rPr>
        <w:t>学分。</w:t>
      </w:r>
    </w:p>
    <w:p w:rsidR="00906087" w:rsidRPr="006E142D" w:rsidRDefault="00906087" w:rsidP="00906087">
      <w:pPr>
        <w:rPr>
          <w:rFonts w:ascii="Times New Roman" w:eastAsia="宋体" w:hAnsi="Times New Roman" w:cs="Times New Roman"/>
          <w:szCs w:val="21"/>
        </w:rPr>
        <w:sectPr w:rsidR="00906087" w:rsidRPr="006E142D" w:rsidSect="00DC2A57">
          <w:headerReference w:type="default" r:id="rId4"/>
          <w:pgSz w:w="11906" w:h="16838"/>
          <w:pgMar w:top="935" w:right="1800" w:bottom="1440" w:left="1800" w:header="851" w:footer="992" w:gutter="0"/>
          <w:pgNumType w:start="1"/>
          <w:cols w:space="425"/>
          <w:docGrid w:type="lines" w:linePitch="312"/>
        </w:sectPr>
      </w:pPr>
    </w:p>
    <w:p w:rsidR="00906087" w:rsidRPr="003261ED" w:rsidRDefault="00906087" w:rsidP="00906087">
      <w:pPr>
        <w:jc w:val="center"/>
        <w:rPr>
          <w:b/>
          <w:sz w:val="28"/>
          <w:szCs w:val="28"/>
        </w:rPr>
      </w:pPr>
      <w:bookmarkStart w:id="16" w:name="_Toc27379"/>
      <w:r w:rsidRPr="003261ED">
        <w:rPr>
          <w:rFonts w:hint="eastAsia"/>
          <w:b/>
          <w:sz w:val="28"/>
          <w:szCs w:val="28"/>
        </w:rPr>
        <w:lastRenderedPageBreak/>
        <w:t>硕博（本博）连读生培养方案</w:t>
      </w:r>
      <w:bookmarkEnd w:id="16"/>
    </w:p>
    <w:p w:rsidR="00906087" w:rsidRPr="00DC13C2" w:rsidRDefault="00906087" w:rsidP="00906087">
      <w:pPr>
        <w:jc w:val="center"/>
        <w:rPr>
          <w:b/>
          <w:bCs/>
          <w:sz w:val="24"/>
          <w:szCs w:val="24"/>
        </w:rPr>
      </w:pPr>
      <w:bookmarkStart w:id="17" w:name="_Toc19465"/>
      <w:r w:rsidRPr="00DC13C2">
        <w:rPr>
          <w:rFonts w:hint="eastAsia"/>
          <w:b/>
          <w:bCs/>
          <w:sz w:val="24"/>
          <w:szCs w:val="24"/>
        </w:rPr>
        <w:t>学科代码：</w:t>
      </w:r>
      <w:r w:rsidRPr="00E62F44">
        <w:rPr>
          <w:rFonts w:ascii="Times New Roman" w:hAnsi="Times New Roman" w:cs="Times New Roman"/>
          <w:b/>
          <w:bCs/>
          <w:sz w:val="24"/>
          <w:szCs w:val="24"/>
        </w:rPr>
        <w:t>0804</w:t>
      </w:r>
      <w:r w:rsidRPr="00DC13C2">
        <w:rPr>
          <w:rFonts w:hint="eastAsia"/>
          <w:b/>
          <w:bCs/>
          <w:sz w:val="24"/>
          <w:szCs w:val="24"/>
        </w:rPr>
        <w:t>学科名称：仪器科学与技术</w:t>
      </w:r>
      <w:bookmarkEnd w:id="17"/>
    </w:p>
    <w:p w:rsidR="00906087" w:rsidRPr="006E142D" w:rsidRDefault="00906087" w:rsidP="00906087">
      <w:pPr>
        <w:pStyle w:val="3"/>
        <w:rPr>
          <w:rFonts w:cs="Times New Roman"/>
        </w:rPr>
      </w:pPr>
      <w:r w:rsidRPr="006E142D">
        <w:rPr>
          <w:rFonts w:hint="eastAsia"/>
        </w:rPr>
        <w:t>一、研究方向</w:t>
      </w:r>
    </w:p>
    <w:p w:rsidR="00906087" w:rsidRPr="006E142D" w:rsidRDefault="00906087" w:rsidP="00906087">
      <w:pPr>
        <w:adjustRightInd w:val="0"/>
        <w:snapToGrid w:val="0"/>
        <w:spacing w:line="300" w:lineRule="auto"/>
        <w:ind w:firstLineChars="177" w:firstLine="372"/>
        <w:rPr>
          <w:rFonts w:ascii="Times New Roman" w:eastAsia="宋体" w:hAnsi="Times New Roman" w:cs="Times New Roman"/>
          <w:szCs w:val="21"/>
        </w:rPr>
      </w:pPr>
      <w:r w:rsidRPr="006E142D">
        <w:rPr>
          <w:rFonts w:ascii="Times New Roman" w:eastAsia="宋体" w:hAnsi="Times New Roman" w:cs="Times New Roman"/>
          <w:szCs w:val="21"/>
        </w:rPr>
        <w:t xml:space="preserve">1. </w:t>
      </w:r>
      <w:r w:rsidRPr="006E142D">
        <w:rPr>
          <w:rFonts w:ascii="Times New Roman" w:eastAsia="宋体" w:hAnsi="Times New Roman" w:cs="宋体" w:hint="eastAsia"/>
          <w:szCs w:val="21"/>
        </w:rPr>
        <w:t>纳米测量与超精密仪器技术</w:t>
      </w:r>
      <w:r w:rsidRPr="006E142D">
        <w:rPr>
          <w:rFonts w:ascii="Times New Roman" w:eastAsia="宋体" w:hAnsi="Times New Roman" w:cs="Times New Roman"/>
          <w:szCs w:val="21"/>
        </w:rPr>
        <w:t xml:space="preserve">           2. </w:t>
      </w:r>
      <w:r w:rsidRPr="006E142D">
        <w:rPr>
          <w:rFonts w:ascii="Times New Roman" w:eastAsia="宋体" w:hAnsi="Times New Roman" w:cs="宋体" w:hint="eastAsia"/>
          <w:szCs w:val="21"/>
        </w:rPr>
        <w:t>激光测量与探测技术</w:t>
      </w:r>
    </w:p>
    <w:p w:rsidR="00906087" w:rsidRPr="006E142D" w:rsidRDefault="00906087" w:rsidP="00906087">
      <w:pPr>
        <w:adjustRightInd w:val="0"/>
        <w:snapToGrid w:val="0"/>
        <w:spacing w:line="300" w:lineRule="auto"/>
        <w:ind w:firstLineChars="177" w:firstLine="372"/>
        <w:rPr>
          <w:rFonts w:ascii="Times New Roman" w:eastAsia="宋体" w:hAnsi="Times New Roman" w:cs="Times New Roman"/>
          <w:szCs w:val="21"/>
        </w:rPr>
      </w:pPr>
      <w:r w:rsidRPr="006E142D">
        <w:rPr>
          <w:rFonts w:ascii="Times New Roman" w:eastAsia="宋体" w:hAnsi="Times New Roman" w:cs="Times New Roman"/>
          <w:szCs w:val="21"/>
        </w:rPr>
        <w:t xml:space="preserve">3. </w:t>
      </w:r>
      <w:r w:rsidRPr="006E142D">
        <w:rPr>
          <w:rFonts w:ascii="Times New Roman" w:eastAsia="宋体" w:hAnsi="Times New Roman" w:cs="宋体" w:hint="eastAsia"/>
          <w:szCs w:val="21"/>
        </w:rPr>
        <w:t>光电测量技术与仪器</w:t>
      </w:r>
      <w:r w:rsidRPr="006E142D">
        <w:rPr>
          <w:rFonts w:ascii="Times New Roman" w:eastAsia="宋体" w:hAnsi="Times New Roman" w:cs="Times New Roman"/>
          <w:szCs w:val="21"/>
        </w:rPr>
        <w:t xml:space="preserve">                 4. </w:t>
      </w:r>
      <w:r w:rsidRPr="006E142D">
        <w:rPr>
          <w:rFonts w:ascii="Times New Roman" w:eastAsia="宋体" w:hAnsi="Times New Roman" w:cs="宋体" w:hint="eastAsia"/>
          <w:szCs w:val="21"/>
        </w:rPr>
        <w:t>辐射测温及热物性测试技术</w:t>
      </w:r>
    </w:p>
    <w:p w:rsidR="00906087" w:rsidRPr="006E142D" w:rsidRDefault="00906087" w:rsidP="00906087">
      <w:pPr>
        <w:adjustRightInd w:val="0"/>
        <w:snapToGrid w:val="0"/>
        <w:spacing w:line="300" w:lineRule="auto"/>
        <w:ind w:firstLineChars="177" w:firstLine="372"/>
        <w:rPr>
          <w:rFonts w:ascii="Times New Roman" w:eastAsia="宋体" w:hAnsi="Times New Roman" w:cs="Times New Roman"/>
          <w:szCs w:val="21"/>
        </w:rPr>
      </w:pPr>
      <w:r w:rsidRPr="006E142D">
        <w:rPr>
          <w:rFonts w:ascii="Times New Roman" w:eastAsia="宋体" w:hAnsi="Times New Roman" w:cs="Times New Roman"/>
          <w:szCs w:val="21"/>
        </w:rPr>
        <w:t xml:space="preserve">5. </w:t>
      </w:r>
      <w:r w:rsidRPr="006E142D">
        <w:rPr>
          <w:rFonts w:ascii="Times New Roman" w:eastAsia="宋体" w:hAnsi="Times New Roman" w:cs="宋体" w:hint="eastAsia"/>
          <w:szCs w:val="21"/>
        </w:rPr>
        <w:t>图像与信息处理技术</w:t>
      </w:r>
      <w:r w:rsidRPr="006E142D">
        <w:rPr>
          <w:rFonts w:ascii="Times New Roman" w:eastAsia="宋体" w:hAnsi="Times New Roman" w:cs="Times New Roman"/>
          <w:szCs w:val="21"/>
        </w:rPr>
        <w:t xml:space="preserve">                 6. </w:t>
      </w:r>
      <w:r w:rsidRPr="006E142D">
        <w:rPr>
          <w:rFonts w:ascii="Times New Roman" w:eastAsia="宋体" w:hAnsi="Times New Roman" w:cs="宋体" w:hint="eastAsia"/>
          <w:szCs w:val="21"/>
        </w:rPr>
        <w:t>电子测量与仪器技术</w:t>
      </w:r>
    </w:p>
    <w:p w:rsidR="00906087" w:rsidRPr="006E142D" w:rsidRDefault="00906087" w:rsidP="00906087">
      <w:pPr>
        <w:adjustRightInd w:val="0"/>
        <w:snapToGrid w:val="0"/>
        <w:spacing w:line="300" w:lineRule="auto"/>
        <w:ind w:firstLineChars="177" w:firstLine="372"/>
        <w:rPr>
          <w:rFonts w:ascii="Times New Roman" w:eastAsia="宋体" w:hAnsi="Times New Roman" w:cs="Times New Roman"/>
          <w:szCs w:val="21"/>
        </w:rPr>
      </w:pPr>
      <w:r w:rsidRPr="006E142D">
        <w:rPr>
          <w:rFonts w:ascii="Times New Roman" w:eastAsia="宋体" w:hAnsi="Times New Roman" w:cs="Times New Roman"/>
          <w:szCs w:val="21"/>
        </w:rPr>
        <w:t xml:space="preserve">7. </w:t>
      </w:r>
      <w:r w:rsidRPr="006E142D">
        <w:rPr>
          <w:rFonts w:ascii="Times New Roman" w:eastAsia="宋体" w:hAnsi="Times New Roman" w:cs="宋体" w:hint="eastAsia"/>
          <w:szCs w:val="21"/>
        </w:rPr>
        <w:t>传感器技术与微光机电系统</w:t>
      </w:r>
      <w:r w:rsidRPr="006E142D">
        <w:rPr>
          <w:rFonts w:ascii="Times New Roman" w:eastAsia="宋体" w:hAnsi="Times New Roman" w:cs="Times New Roman"/>
          <w:szCs w:val="21"/>
        </w:rPr>
        <w:t xml:space="preserve">           8. </w:t>
      </w:r>
      <w:r w:rsidRPr="006E142D">
        <w:rPr>
          <w:rFonts w:ascii="Times New Roman" w:eastAsia="宋体" w:hAnsi="Times New Roman" w:cs="宋体" w:hint="eastAsia"/>
          <w:szCs w:val="21"/>
        </w:rPr>
        <w:t>自动化测试与控制技术</w:t>
      </w:r>
    </w:p>
    <w:p w:rsidR="00906087" w:rsidRPr="006E142D" w:rsidRDefault="00906087" w:rsidP="00906087">
      <w:pPr>
        <w:adjustRightInd w:val="0"/>
        <w:snapToGrid w:val="0"/>
        <w:spacing w:line="300" w:lineRule="auto"/>
        <w:ind w:firstLineChars="177" w:firstLine="372"/>
        <w:rPr>
          <w:rFonts w:ascii="Times New Roman" w:eastAsia="宋体" w:hAnsi="Times New Roman" w:cs="Times New Roman"/>
          <w:szCs w:val="21"/>
        </w:rPr>
      </w:pPr>
      <w:r w:rsidRPr="006E142D">
        <w:rPr>
          <w:rFonts w:ascii="Times New Roman" w:eastAsia="宋体" w:hAnsi="Times New Roman" w:cs="Times New Roman"/>
          <w:szCs w:val="21"/>
        </w:rPr>
        <w:t xml:space="preserve">9. </w:t>
      </w:r>
      <w:r w:rsidRPr="006E142D">
        <w:rPr>
          <w:rFonts w:ascii="Times New Roman" w:eastAsia="宋体" w:hAnsi="Times New Roman" w:cs="宋体" w:hint="eastAsia"/>
          <w:szCs w:val="21"/>
        </w:rPr>
        <w:t>测试与等效试验技术</w:t>
      </w:r>
      <w:r w:rsidRPr="006E142D">
        <w:rPr>
          <w:rFonts w:ascii="Times New Roman" w:eastAsia="宋体" w:hAnsi="Times New Roman" w:cs="Times New Roman"/>
          <w:szCs w:val="21"/>
        </w:rPr>
        <w:t xml:space="preserve">                 10. </w:t>
      </w:r>
      <w:r w:rsidRPr="006E142D">
        <w:rPr>
          <w:rFonts w:ascii="Times New Roman" w:eastAsia="宋体" w:hAnsi="Times New Roman" w:cs="宋体" w:hint="eastAsia"/>
          <w:szCs w:val="21"/>
        </w:rPr>
        <w:t>质量特性测量技术与仪器</w:t>
      </w:r>
    </w:p>
    <w:p w:rsidR="00906087" w:rsidRPr="00A2592F" w:rsidRDefault="00906087" w:rsidP="00906087">
      <w:pPr>
        <w:pStyle w:val="3"/>
      </w:pPr>
      <w:r w:rsidRPr="00A2592F">
        <w:rPr>
          <w:rFonts w:hint="eastAsia"/>
        </w:rPr>
        <w:t>二、课程设置</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
        <w:gridCol w:w="396"/>
        <w:gridCol w:w="404"/>
        <w:gridCol w:w="1243"/>
        <w:gridCol w:w="3170"/>
        <w:gridCol w:w="1016"/>
        <w:gridCol w:w="682"/>
        <w:gridCol w:w="663"/>
        <w:gridCol w:w="767"/>
      </w:tblGrid>
      <w:tr w:rsidR="00906087" w:rsidRPr="006E142D" w:rsidTr="0033053E">
        <w:trPr>
          <w:cantSplit/>
          <w:trHeight w:val="543"/>
          <w:jc w:val="center"/>
        </w:trPr>
        <w:tc>
          <w:tcPr>
            <w:tcW w:w="1163" w:type="dxa"/>
            <w:gridSpan w:val="3"/>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类别</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课程编号</w:t>
            </w:r>
          </w:p>
        </w:tc>
        <w:tc>
          <w:tcPr>
            <w:tcW w:w="3170"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课程名称</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学时</w:t>
            </w:r>
          </w:p>
          <w:p w:rsidR="00906087" w:rsidRPr="006E142D" w:rsidRDefault="00906087" w:rsidP="0033053E">
            <w:pPr>
              <w:adjustRightInd w:val="0"/>
              <w:snapToGrid w:val="0"/>
              <w:spacing w:line="300" w:lineRule="auto"/>
              <w:ind w:leftChars="-51" w:left="-107" w:rightChars="-60" w:right="-126"/>
              <w:jc w:val="center"/>
              <w:rPr>
                <w:rFonts w:ascii="Times New Roman" w:eastAsia="宋体" w:hAnsi="Times New Roman" w:cs="Times New Roman"/>
                <w:szCs w:val="21"/>
              </w:rPr>
            </w:pPr>
            <w:r w:rsidRPr="006E142D">
              <w:rPr>
                <w:rFonts w:ascii="Times New Roman" w:eastAsia="宋体" w:hAnsi="Times New Roman" w:cs="宋体" w:hint="eastAsia"/>
                <w:szCs w:val="21"/>
              </w:rPr>
              <w:t>课内</w:t>
            </w:r>
            <w:r w:rsidRPr="006E142D">
              <w:rPr>
                <w:rFonts w:ascii="Times New Roman" w:eastAsia="宋体" w:hAnsi="Times New Roman" w:cs="Times New Roman"/>
                <w:szCs w:val="21"/>
              </w:rPr>
              <w:t>/</w:t>
            </w:r>
            <w:r w:rsidRPr="006E142D">
              <w:rPr>
                <w:rFonts w:ascii="Times New Roman" w:eastAsia="宋体" w:hAnsi="Times New Roman" w:cs="宋体" w:hint="eastAsia"/>
                <w:szCs w:val="21"/>
              </w:rPr>
              <w:t>实验</w:t>
            </w:r>
          </w:p>
        </w:tc>
        <w:tc>
          <w:tcPr>
            <w:tcW w:w="682" w:type="dxa"/>
            <w:vAlign w:val="center"/>
          </w:tcPr>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学分</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开课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时间</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备注</w:t>
            </w:r>
          </w:p>
        </w:tc>
      </w:tr>
      <w:tr w:rsidR="00906087" w:rsidRPr="006E142D" w:rsidTr="0033053E">
        <w:trPr>
          <w:cantSplit/>
          <w:trHeight w:val="255"/>
          <w:jc w:val="center"/>
        </w:trPr>
        <w:tc>
          <w:tcPr>
            <w:tcW w:w="363"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学</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位</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程</w:t>
            </w:r>
          </w:p>
        </w:tc>
        <w:tc>
          <w:tcPr>
            <w:tcW w:w="800" w:type="dxa"/>
            <w:gridSpan w:val="2"/>
            <w:vMerge w:val="restart"/>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公共</w:t>
            </w:r>
          </w:p>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学位课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S0800000Q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思想政治理论课</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54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宋体"/>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宋体"/>
                <w:szCs w:val="21"/>
              </w:rPr>
            </w:pPr>
          </w:p>
        </w:tc>
        <w:tc>
          <w:tcPr>
            <w:tcW w:w="1243" w:type="dxa"/>
            <w:vAlign w:val="center"/>
          </w:tcPr>
          <w:p w:rsidR="00906087" w:rsidRPr="00D85B12" w:rsidRDefault="00906087" w:rsidP="0033053E">
            <w:pPr>
              <w:adjustRightInd w:val="0"/>
              <w:snapToGrid w:val="0"/>
              <w:spacing w:line="300" w:lineRule="auto"/>
              <w:jc w:val="center"/>
              <w:rPr>
                <w:szCs w:val="21"/>
              </w:rPr>
            </w:pPr>
            <w:r w:rsidRPr="00D85B12">
              <w:rPr>
                <w:rFonts w:hint="eastAsia"/>
                <w:szCs w:val="21"/>
              </w:rPr>
              <w:t>B0800ZZJZ</w:t>
            </w:r>
          </w:p>
        </w:tc>
        <w:tc>
          <w:tcPr>
            <w:tcW w:w="3170" w:type="dxa"/>
          </w:tcPr>
          <w:p w:rsidR="00906087" w:rsidRPr="00D85B12" w:rsidRDefault="00906087" w:rsidP="0033053E">
            <w:pPr>
              <w:adjustRightInd w:val="0"/>
              <w:snapToGrid w:val="0"/>
              <w:spacing w:line="300" w:lineRule="auto"/>
              <w:rPr>
                <w:szCs w:val="21"/>
              </w:rPr>
            </w:pPr>
            <w:r w:rsidRPr="00D85B12">
              <w:rPr>
                <w:rFonts w:hint="eastAsia"/>
                <w:szCs w:val="21"/>
              </w:rPr>
              <w:t>硕</w:t>
            </w:r>
            <w:r>
              <w:rPr>
                <w:rFonts w:hint="eastAsia"/>
                <w:szCs w:val="21"/>
              </w:rPr>
              <w:t>（</w:t>
            </w:r>
            <w:r w:rsidRPr="00D85B12">
              <w:rPr>
                <w:rFonts w:hint="eastAsia"/>
                <w:szCs w:val="21"/>
              </w:rPr>
              <w:t>本</w:t>
            </w:r>
            <w:r>
              <w:rPr>
                <w:rFonts w:hint="eastAsia"/>
                <w:szCs w:val="21"/>
              </w:rPr>
              <w:t>）</w:t>
            </w:r>
            <w:r w:rsidRPr="00D85B12">
              <w:rPr>
                <w:rFonts w:hint="eastAsia"/>
                <w:szCs w:val="21"/>
              </w:rPr>
              <w:t>博连读政治讲座</w:t>
            </w:r>
          </w:p>
        </w:tc>
        <w:tc>
          <w:tcPr>
            <w:tcW w:w="1016" w:type="dxa"/>
            <w:vAlign w:val="center"/>
          </w:tcPr>
          <w:p w:rsidR="00906087" w:rsidRPr="00D85B12" w:rsidRDefault="00906087" w:rsidP="0033053E">
            <w:pPr>
              <w:adjustRightInd w:val="0"/>
              <w:snapToGrid w:val="0"/>
              <w:spacing w:line="300" w:lineRule="auto"/>
              <w:jc w:val="center"/>
              <w:rPr>
                <w:szCs w:val="21"/>
              </w:rPr>
            </w:pPr>
            <w:r w:rsidRPr="00D85B12">
              <w:rPr>
                <w:rFonts w:hint="eastAsia"/>
                <w:szCs w:val="21"/>
              </w:rPr>
              <w:t>4</w:t>
            </w:r>
          </w:p>
        </w:tc>
        <w:tc>
          <w:tcPr>
            <w:tcW w:w="682" w:type="dxa"/>
            <w:vAlign w:val="center"/>
          </w:tcPr>
          <w:p w:rsidR="00906087" w:rsidRPr="00D85B12" w:rsidRDefault="00906087" w:rsidP="0033053E">
            <w:pPr>
              <w:adjustRightInd w:val="0"/>
              <w:snapToGrid w:val="0"/>
              <w:spacing w:line="300" w:lineRule="auto"/>
              <w:jc w:val="center"/>
              <w:rPr>
                <w:szCs w:val="21"/>
              </w:rPr>
            </w:pPr>
            <w:r w:rsidRPr="00D85B12">
              <w:rPr>
                <w:rFonts w:hint="eastAsia"/>
                <w:szCs w:val="21"/>
              </w:rPr>
              <w:t>0</w:t>
            </w:r>
          </w:p>
        </w:tc>
        <w:tc>
          <w:tcPr>
            <w:tcW w:w="663" w:type="dxa"/>
            <w:vAlign w:val="center"/>
          </w:tcPr>
          <w:p w:rsidR="00906087" w:rsidRPr="00D85B12" w:rsidRDefault="00906087" w:rsidP="0033053E">
            <w:pPr>
              <w:adjustRightInd w:val="0"/>
              <w:snapToGrid w:val="0"/>
              <w:spacing w:line="300" w:lineRule="auto"/>
              <w:jc w:val="center"/>
              <w:rPr>
                <w:szCs w:val="21"/>
              </w:rPr>
            </w:pPr>
            <w:r w:rsidRPr="00D85B12">
              <w:rPr>
                <w:rFonts w:hint="eastAsia"/>
                <w:szCs w:val="21"/>
              </w:rPr>
              <w:t>夏</w:t>
            </w:r>
          </w:p>
        </w:tc>
        <w:tc>
          <w:tcPr>
            <w:tcW w:w="767" w:type="dxa"/>
            <w:vAlign w:val="center"/>
          </w:tcPr>
          <w:p w:rsidR="00906087" w:rsidRDefault="00906087" w:rsidP="0033053E">
            <w:pPr>
              <w:adjustRightInd w:val="0"/>
              <w:snapToGrid w:val="0"/>
              <w:spacing w:line="300" w:lineRule="auto"/>
              <w:jc w:val="center"/>
              <w:rPr>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宋体" w:cs="宋体" w:hint="eastAsia"/>
                <w:szCs w:val="21"/>
              </w:rPr>
              <w:t>博士生第一外国语</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64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秋春</w:t>
            </w:r>
            <w:proofErr w:type="gramEnd"/>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restart"/>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硕士生</w:t>
            </w:r>
          </w:p>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基础、</w:t>
            </w:r>
          </w:p>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专业课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S0612065Q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数值分析</w:t>
            </w:r>
            <w:r w:rsidRPr="006E142D">
              <w:rPr>
                <w:rFonts w:ascii="Times New Roman" w:eastAsia="宋体" w:hAnsi="Times New Roman" w:cs="Times New Roman"/>
                <w:szCs w:val="21"/>
              </w:rPr>
              <w:t>B</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32/12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S0612035Q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小</w:t>
            </w:r>
            <w:proofErr w:type="gramStart"/>
            <w:r w:rsidRPr="006E142D">
              <w:rPr>
                <w:rFonts w:ascii="Times New Roman" w:eastAsia="宋体" w:hAnsi="Times New Roman" w:cs="宋体" w:hint="eastAsia"/>
                <w:szCs w:val="21"/>
              </w:rPr>
              <w:t>波理论</w:t>
            </w:r>
            <w:proofErr w:type="gramEnd"/>
            <w:r w:rsidRPr="006E142D">
              <w:rPr>
                <w:rFonts w:ascii="Times New Roman" w:eastAsia="宋体" w:hAnsi="Times New Roman" w:cs="宋体" w:hint="eastAsia"/>
                <w:szCs w:val="21"/>
              </w:rPr>
              <w:t>与应用</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32/12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选一</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必修</w:t>
            </w: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S0612037Q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应用随机过程</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S0501001Q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数字信号处理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S0501002Q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现代光学基础</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S0501003Q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数字图像处理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28/4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S0501004Q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现代传感技术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S0501022Q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微弱信号检测及处理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S0105201Q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信号检测理论</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30/2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五系</w:t>
            </w: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S0200005Q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微分几何建模及应用</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八系</w:t>
            </w:r>
            <w:proofErr w:type="gramEnd"/>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S0200008Q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现代机械设计理论与方法</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八系</w:t>
            </w:r>
            <w:proofErr w:type="gramEnd"/>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S0501006Q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光电测量技术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S0501007Q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仪器精度理论</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S0501008Q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现代时域测量</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S0501009Q</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智能测试理论基础及应用</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restart"/>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博士生</w:t>
            </w:r>
          </w:p>
          <w:p w:rsidR="00906087" w:rsidRPr="006E142D" w:rsidRDefault="00906087" w:rsidP="0033053E">
            <w:pPr>
              <w:adjustRightInd w:val="0"/>
              <w:snapToGrid w:val="0"/>
              <w:spacing w:line="300" w:lineRule="auto"/>
              <w:ind w:leftChars="-82" w:left="-172" w:rightChars="-51" w:right="-107" w:firstLineChars="50" w:firstLine="105"/>
              <w:rPr>
                <w:rFonts w:ascii="Times New Roman" w:eastAsia="宋体" w:hAnsi="Times New Roman" w:cs="Times New Roman"/>
                <w:szCs w:val="21"/>
              </w:rPr>
            </w:pPr>
            <w:r w:rsidRPr="006E142D">
              <w:rPr>
                <w:rFonts w:ascii="Times New Roman" w:eastAsia="宋体" w:hAnsi="Times New Roman" w:cs="宋体" w:hint="eastAsia"/>
                <w:szCs w:val="21"/>
              </w:rPr>
              <w:t>学科</w:t>
            </w:r>
          </w:p>
          <w:p w:rsidR="00906087" w:rsidRPr="006E142D" w:rsidRDefault="00906087" w:rsidP="0033053E">
            <w:pPr>
              <w:adjustRightInd w:val="0"/>
              <w:snapToGrid w:val="0"/>
              <w:spacing w:line="300" w:lineRule="auto"/>
              <w:ind w:leftChars="-82" w:left="-172" w:rightChars="-51" w:right="-107" w:firstLineChars="50" w:firstLine="105"/>
              <w:rPr>
                <w:rFonts w:ascii="Times New Roman" w:eastAsia="宋体" w:hAnsi="Times New Roman" w:cs="Times New Roman"/>
                <w:szCs w:val="21"/>
              </w:rPr>
            </w:pPr>
            <w:r w:rsidRPr="006E142D">
              <w:rPr>
                <w:rFonts w:ascii="Times New Roman" w:eastAsia="宋体" w:hAnsi="Times New Roman" w:cs="宋体" w:hint="eastAsia"/>
                <w:szCs w:val="21"/>
              </w:rPr>
              <w:t>学位课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B0501001Q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量子理论导论</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ind w:leftChars="-82" w:left="-172"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B0501002C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测量误差与不确定度评估</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B0501003Q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现代信号处理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800" w:type="dxa"/>
            <w:gridSpan w:val="2"/>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B0501004Q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传感器信息处理技术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选修课</w:t>
            </w:r>
          </w:p>
        </w:tc>
        <w:tc>
          <w:tcPr>
            <w:tcW w:w="396"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硕士生课</w:t>
            </w:r>
          </w:p>
        </w:tc>
        <w:tc>
          <w:tcPr>
            <w:tcW w:w="404"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lastRenderedPageBreak/>
              <w:t>选</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修</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S0501010C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激光测量与探测技术（共建课）</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S0501011C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二元光学</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S0501012Q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光谱技术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S0501013Q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光学系统设计</w:t>
            </w:r>
            <w:r w:rsidRPr="006E142D">
              <w:rPr>
                <w:rFonts w:ascii="Times New Roman" w:eastAsia="宋体" w:hAnsi="Times New Roman" w:cs="Times New Roman"/>
                <w:szCs w:val="21"/>
              </w:rPr>
              <w:t>(</w:t>
            </w:r>
            <w:r w:rsidRPr="006E142D">
              <w:rPr>
                <w:rFonts w:ascii="Times New Roman" w:eastAsia="宋体" w:hAnsi="Times New Roman" w:cs="宋体" w:hint="eastAsia"/>
                <w:szCs w:val="21"/>
              </w:rPr>
              <w:t>双语、英语</w:t>
            </w:r>
            <w:r w:rsidRPr="006E142D">
              <w:rPr>
                <w:rFonts w:ascii="Times New Roman" w:eastAsia="宋体" w:hAnsi="Times New Roman" w:cs="Times New Roman"/>
                <w:szCs w:val="21"/>
              </w:rPr>
              <w:t>)</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32/20</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S0501014C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视觉测量与系统</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S0501016C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计算机辅助仪器工程</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S0501017Q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工程软件开发技术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S0501018Q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嵌入式系统软件设计</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S0501019Q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测控系统的电磁兼容技术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S0501026Q</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微光机电系统</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S0501027C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大规模测控系统设计</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S0501028C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时测技术与微系统</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S0501029C</w:t>
            </w:r>
          </w:p>
        </w:tc>
        <w:tc>
          <w:tcPr>
            <w:tcW w:w="3170" w:type="dxa"/>
            <w:vAlign w:val="center"/>
          </w:tcPr>
          <w:p w:rsidR="00906087" w:rsidRPr="006E142D" w:rsidRDefault="00906087" w:rsidP="0033053E">
            <w:pPr>
              <w:adjustRightInd w:val="0"/>
              <w:snapToGrid w:val="0"/>
              <w:spacing w:line="300" w:lineRule="auto"/>
              <w:ind w:rightChars="-50" w:right="-105"/>
              <w:rPr>
                <w:rFonts w:ascii="Times New Roman" w:eastAsia="宋体" w:hAnsi="Times New Roman" w:cs="Times New Roman"/>
                <w:szCs w:val="21"/>
              </w:rPr>
            </w:pPr>
            <w:r w:rsidRPr="006E142D">
              <w:rPr>
                <w:rFonts w:ascii="Times New Roman" w:eastAsia="宋体" w:hAnsi="Times New Roman" w:cs="宋体" w:hint="eastAsia"/>
                <w:szCs w:val="21"/>
              </w:rPr>
              <w:t>辐射测温学</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24</w:t>
            </w:r>
          </w:p>
        </w:tc>
        <w:tc>
          <w:tcPr>
            <w:tcW w:w="682"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1.5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S0501040Q</w:t>
            </w:r>
          </w:p>
        </w:tc>
        <w:tc>
          <w:tcPr>
            <w:tcW w:w="3170" w:type="dxa"/>
            <w:vAlign w:val="center"/>
          </w:tcPr>
          <w:p w:rsidR="00906087" w:rsidRPr="006E142D" w:rsidRDefault="00906087" w:rsidP="0033053E">
            <w:pPr>
              <w:adjustRightInd w:val="0"/>
              <w:snapToGrid w:val="0"/>
              <w:spacing w:line="300" w:lineRule="auto"/>
              <w:ind w:rightChars="-50" w:right="-105"/>
              <w:rPr>
                <w:rFonts w:ascii="Times New Roman" w:eastAsia="宋体" w:hAnsi="Times New Roman" w:cs="Times New Roman"/>
                <w:szCs w:val="21"/>
              </w:rPr>
            </w:pPr>
            <w:r w:rsidRPr="006E142D">
              <w:rPr>
                <w:rFonts w:ascii="Times New Roman" w:eastAsia="宋体" w:hAnsi="Times New Roman" w:cs="宋体" w:hint="eastAsia"/>
                <w:szCs w:val="21"/>
              </w:rPr>
              <w:t>可重构计算（共建课）</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20/12</w:t>
            </w:r>
          </w:p>
        </w:tc>
        <w:tc>
          <w:tcPr>
            <w:tcW w:w="682"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秋</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实</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roofErr w:type="gramStart"/>
            <w:r w:rsidRPr="006E142D">
              <w:rPr>
                <w:rFonts w:ascii="Times New Roman" w:eastAsia="宋体" w:hAnsi="Times New Roman" w:cs="宋体" w:hint="eastAsia"/>
                <w:szCs w:val="21"/>
              </w:rPr>
              <w:t>践</w:t>
            </w:r>
            <w:proofErr w:type="gramEnd"/>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S0501020C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超精密光电测量综合实践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32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S0501023C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虚拟仪器的应用与实践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S0501025C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高速</w:t>
            </w:r>
            <w:r w:rsidRPr="006E142D">
              <w:rPr>
                <w:rFonts w:ascii="Times New Roman" w:eastAsia="宋体" w:hAnsi="Times New Roman" w:cs="Times New Roman"/>
                <w:szCs w:val="21"/>
              </w:rPr>
              <w:t>DSP</w:t>
            </w:r>
            <w:r w:rsidRPr="006E142D">
              <w:rPr>
                <w:rFonts w:ascii="Times New Roman" w:eastAsia="宋体" w:hAnsi="Times New Roman" w:cs="宋体" w:hint="eastAsia"/>
                <w:szCs w:val="21"/>
              </w:rPr>
              <w:t>原理、应用及实践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S0501032C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工业过程检测与控制实践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S0506033C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Times New Roman"/>
                <w:szCs w:val="21"/>
              </w:rPr>
              <w:t>EDA/SPOC</w:t>
            </w:r>
            <w:r w:rsidRPr="006E142D">
              <w:rPr>
                <w:rFonts w:ascii="Times New Roman" w:eastAsia="宋体" w:hAnsi="Times New Roman" w:cs="宋体" w:hint="eastAsia"/>
                <w:szCs w:val="21"/>
              </w:rPr>
              <w:t>应用实践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S0506055C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工业自动化与驱动技术实践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S0506058C</w:t>
            </w:r>
          </w:p>
        </w:tc>
        <w:tc>
          <w:tcPr>
            <w:tcW w:w="3170" w:type="dxa"/>
            <w:vAlign w:val="center"/>
          </w:tcPr>
          <w:p w:rsidR="00906087" w:rsidRPr="006E142D" w:rsidRDefault="00906087" w:rsidP="0033053E">
            <w:pPr>
              <w:adjustRightInd w:val="0"/>
              <w:snapToGrid w:val="0"/>
              <w:spacing w:line="300" w:lineRule="auto"/>
              <w:jc w:val="left"/>
              <w:rPr>
                <w:rFonts w:ascii="Times New Roman" w:eastAsia="宋体" w:hAnsi="Times New Roman" w:cs="Times New Roman"/>
                <w:szCs w:val="21"/>
              </w:rPr>
            </w:pPr>
            <w:r w:rsidRPr="006E142D">
              <w:rPr>
                <w:rFonts w:ascii="Times New Roman" w:eastAsia="宋体" w:hAnsi="Times New Roman" w:cs="宋体" w:hint="eastAsia"/>
                <w:szCs w:val="21"/>
              </w:rPr>
              <w:t>高级电子技术综合实验</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16</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restart"/>
            <w:vAlign w:val="center"/>
          </w:tcPr>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专</w:t>
            </w:r>
          </w:p>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题</w:t>
            </w:r>
          </w:p>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S0501033C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超精密仪器技术</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8</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70"/>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S0501034C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宋体" w:eastAsia="宋体" w:hAnsi="宋体" w:cs="宋体" w:hint="eastAsia"/>
                <w:szCs w:val="21"/>
              </w:rPr>
              <w:t>航天总装精密测试技术及仪器</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6/2</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S0501035C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自动检测技术及自动化装置</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8</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春</w:t>
            </w: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5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404" w:type="dxa"/>
            <w:vMerge/>
            <w:vAlign w:val="center"/>
          </w:tcPr>
          <w:p w:rsidR="00906087" w:rsidRPr="006E142D" w:rsidRDefault="00906087" w:rsidP="0033053E">
            <w:pPr>
              <w:adjustRightInd w:val="0"/>
              <w:snapToGrid w:val="0"/>
              <w:spacing w:line="300" w:lineRule="auto"/>
              <w:ind w:leftChars="-30" w:left="-63" w:rightChars="-51" w:right="-107"/>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ind w:leftChars="-81" w:left="-170" w:rightChars="-50" w:right="-105"/>
              <w:jc w:val="center"/>
              <w:rPr>
                <w:rFonts w:ascii="Times New Roman" w:eastAsia="宋体" w:hAnsi="Times New Roman" w:cs="Times New Roman"/>
                <w:szCs w:val="21"/>
              </w:rPr>
            </w:pPr>
            <w:r w:rsidRPr="006E142D">
              <w:rPr>
                <w:rFonts w:ascii="Times New Roman" w:eastAsia="宋体" w:hAnsi="Times New Roman" w:cs="Times New Roman"/>
                <w:szCs w:val="21"/>
              </w:rPr>
              <w:t>S0501036C</w:t>
            </w: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宋体" w:eastAsia="宋体" w:hAnsi="宋体" w:cs="宋体" w:hint="eastAsia"/>
                <w:szCs w:val="21"/>
              </w:rPr>
              <w:t>测试、诊断与系统健康管理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8</w:t>
            </w: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0.5</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1275"/>
          <w:jc w:val="center"/>
        </w:trPr>
        <w:tc>
          <w:tcPr>
            <w:tcW w:w="363"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96" w:type="dxa"/>
            <w:vAlign w:val="center"/>
          </w:tcPr>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博</w:t>
            </w:r>
          </w:p>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士</w:t>
            </w:r>
          </w:p>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生</w:t>
            </w:r>
          </w:p>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tc>
        <w:tc>
          <w:tcPr>
            <w:tcW w:w="404" w:type="dxa"/>
            <w:vAlign w:val="center"/>
          </w:tcPr>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选</w:t>
            </w:r>
          </w:p>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修</w:t>
            </w:r>
          </w:p>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课</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在导师指导下，从本学科学术型硕士选修课、与本学科相关的其它学科研究生课程中，选择与研究主题相关课程，并至少达到</w:t>
            </w:r>
            <w:r w:rsidRPr="006E142D">
              <w:rPr>
                <w:rFonts w:ascii="Times New Roman" w:eastAsia="宋体" w:hAnsi="Times New Roman" w:cs="Times New Roman"/>
                <w:szCs w:val="21"/>
              </w:rPr>
              <w:t>4</w:t>
            </w:r>
            <w:r w:rsidRPr="006E142D">
              <w:rPr>
                <w:rFonts w:ascii="Times New Roman" w:eastAsia="宋体" w:hAnsi="Times New Roman" w:cs="宋体" w:hint="eastAsia"/>
                <w:szCs w:val="21"/>
              </w:rPr>
              <w:t>学分</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23"/>
          <w:jc w:val="center"/>
        </w:trPr>
        <w:tc>
          <w:tcPr>
            <w:tcW w:w="1163" w:type="dxa"/>
            <w:gridSpan w:val="3"/>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博士生</w:t>
            </w:r>
          </w:p>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必修环节</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综合考评</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23"/>
          <w:jc w:val="center"/>
        </w:trPr>
        <w:tc>
          <w:tcPr>
            <w:tcW w:w="1163" w:type="dxa"/>
            <w:gridSpan w:val="3"/>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开题报告</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23"/>
          <w:jc w:val="center"/>
        </w:trPr>
        <w:tc>
          <w:tcPr>
            <w:tcW w:w="1163" w:type="dxa"/>
            <w:gridSpan w:val="3"/>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中期检查</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23"/>
          <w:jc w:val="center"/>
        </w:trPr>
        <w:tc>
          <w:tcPr>
            <w:tcW w:w="1163" w:type="dxa"/>
            <w:gridSpan w:val="3"/>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学术活动</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Merge w:val="restart"/>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2</w:t>
            </w:r>
            <w:r w:rsidRPr="006E142D">
              <w:rPr>
                <w:rFonts w:ascii="Times New Roman" w:eastAsia="宋体" w:hAnsi="Times New Roman" w:cs="宋体" w:hint="eastAsia"/>
                <w:szCs w:val="21"/>
              </w:rPr>
              <w:t>选</w:t>
            </w:r>
            <w:r w:rsidRPr="006E142D">
              <w:rPr>
                <w:rFonts w:ascii="Times New Roman" w:eastAsia="宋体" w:hAnsi="Times New Roman" w:cs="Times New Roman"/>
                <w:szCs w:val="21"/>
              </w:rPr>
              <w:t>1</w:t>
            </w:r>
          </w:p>
        </w:tc>
      </w:tr>
      <w:tr w:rsidR="00906087" w:rsidRPr="006E142D" w:rsidTr="0033053E">
        <w:trPr>
          <w:cantSplit/>
          <w:trHeight w:val="269"/>
          <w:jc w:val="center"/>
        </w:trPr>
        <w:tc>
          <w:tcPr>
            <w:tcW w:w="1163" w:type="dxa"/>
            <w:gridSpan w:val="3"/>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社会实践</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1</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Merge/>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69"/>
          <w:jc w:val="center"/>
        </w:trPr>
        <w:tc>
          <w:tcPr>
            <w:tcW w:w="1163" w:type="dxa"/>
            <w:gridSpan w:val="3"/>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宋体" w:hint="eastAsia"/>
                <w:szCs w:val="21"/>
              </w:rPr>
              <w:t>补修课</w:t>
            </w:r>
            <w:r w:rsidRPr="006E142D">
              <w:rPr>
                <w:rFonts w:ascii="Times New Roman" w:eastAsia="宋体" w:hAnsi="Times New Roman" w:cs="Times New Roman"/>
                <w:szCs w:val="21"/>
              </w:rPr>
              <w:t>(BX)</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Merge w:val="restart"/>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r w:rsidRPr="006E142D">
              <w:rPr>
                <w:rFonts w:ascii="Times New Roman" w:eastAsia="宋体" w:hAnsi="Times New Roman" w:cs="宋体" w:hint="eastAsia"/>
                <w:szCs w:val="21"/>
              </w:rPr>
              <w:t>导师根据研究工作需要和博士生的学科基础选择课程</w:t>
            </w: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r w:rsidR="00906087" w:rsidRPr="006E142D" w:rsidTr="0033053E">
        <w:trPr>
          <w:cantSplit/>
          <w:trHeight w:val="269"/>
          <w:jc w:val="center"/>
        </w:trPr>
        <w:tc>
          <w:tcPr>
            <w:tcW w:w="1163" w:type="dxa"/>
            <w:gridSpan w:val="3"/>
            <w:vAlign w:val="center"/>
          </w:tcPr>
          <w:p w:rsidR="00906087" w:rsidRPr="006E142D" w:rsidRDefault="00906087" w:rsidP="0033053E">
            <w:pPr>
              <w:adjustRightInd w:val="0"/>
              <w:snapToGrid w:val="0"/>
              <w:spacing w:line="300" w:lineRule="auto"/>
              <w:ind w:leftChars="-51" w:left="-107" w:rightChars="-51" w:right="-107"/>
              <w:jc w:val="center"/>
              <w:rPr>
                <w:rFonts w:ascii="Times New Roman" w:eastAsia="宋体" w:hAnsi="Times New Roman" w:cs="Times New Roman"/>
                <w:szCs w:val="21"/>
              </w:rPr>
            </w:pPr>
            <w:r w:rsidRPr="006E142D">
              <w:rPr>
                <w:rFonts w:ascii="Times New Roman" w:eastAsia="宋体" w:hAnsi="Times New Roman" w:cs="宋体" w:hint="eastAsia"/>
                <w:szCs w:val="21"/>
              </w:rPr>
              <w:t>自选课</w:t>
            </w:r>
            <w:r w:rsidRPr="006E142D">
              <w:rPr>
                <w:rFonts w:ascii="Times New Roman" w:eastAsia="宋体" w:hAnsi="Times New Roman" w:cs="Times New Roman"/>
                <w:szCs w:val="21"/>
              </w:rPr>
              <w:t>(ZX)</w:t>
            </w:r>
          </w:p>
        </w:tc>
        <w:tc>
          <w:tcPr>
            <w:tcW w:w="124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3170" w:type="dxa"/>
            <w:vMerge/>
            <w:vAlign w:val="center"/>
          </w:tcPr>
          <w:p w:rsidR="00906087" w:rsidRPr="006E142D" w:rsidRDefault="00906087" w:rsidP="0033053E">
            <w:pPr>
              <w:adjustRightInd w:val="0"/>
              <w:snapToGrid w:val="0"/>
              <w:spacing w:line="300" w:lineRule="auto"/>
              <w:rPr>
                <w:rFonts w:ascii="Times New Roman" w:eastAsia="宋体" w:hAnsi="Times New Roman" w:cs="Times New Roman"/>
                <w:szCs w:val="21"/>
              </w:rPr>
            </w:pPr>
          </w:p>
        </w:tc>
        <w:tc>
          <w:tcPr>
            <w:tcW w:w="1016"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682"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r w:rsidRPr="006E142D">
              <w:rPr>
                <w:rFonts w:ascii="Times New Roman" w:eastAsia="宋体" w:hAnsi="Times New Roman" w:cs="Times New Roman"/>
                <w:szCs w:val="21"/>
              </w:rPr>
              <w:t>0</w:t>
            </w:r>
          </w:p>
        </w:tc>
        <w:tc>
          <w:tcPr>
            <w:tcW w:w="663"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c>
          <w:tcPr>
            <w:tcW w:w="767" w:type="dxa"/>
            <w:vAlign w:val="center"/>
          </w:tcPr>
          <w:p w:rsidR="00906087" w:rsidRPr="006E142D" w:rsidRDefault="00906087" w:rsidP="0033053E">
            <w:pPr>
              <w:adjustRightInd w:val="0"/>
              <w:snapToGrid w:val="0"/>
              <w:spacing w:line="300" w:lineRule="auto"/>
              <w:jc w:val="center"/>
              <w:rPr>
                <w:rFonts w:ascii="Times New Roman" w:eastAsia="宋体" w:hAnsi="Times New Roman" w:cs="Times New Roman"/>
                <w:szCs w:val="21"/>
              </w:rPr>
            </w:pPr>
          </w:p>
        </w:tc>
      </w:tr>
    </w:tbl>
    <w:p w:rsidR="001D1389" w:rsidRDefault="001D1389" w:rsidP="00906087"/>
    <w:sectPr w:rsidR="001D1389" w:rsidSect="001D13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0A" w:rsidRDefault="00906087" w:rsidP="00A2592F">
    <w:pPr>
      <w:pStyle w:val="a3"/>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6087"/>
    <w:rsid w:val="001D1389"/>
    <w:rsid w:val="005D01F8"/>
    <w:rsid w:val="005D63CB"/>
    <w:rsid w:val="007D0E8D"/>
    <w:rsid w:val="00906087"/>
    <w:rsid w:val="00923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87"/>
    <w:pPr>
      <w:widowControl w:val="0"/>
      <w:jc w:val="both"/>
    </w:pPr>
  </w:style>
  <w:style w:type="paragraph" w:styleId="1">
    <w:name w:val="heading 1"/>
    <w:basedOn w:val="a"/>
    <w:next w:val="a"/>
    <w:link w:val="1Char"/>
    <w:qFormat/>
    <w:rsid w:val="00906087"/>
    <w:pPr>
      <w:keepNext/>
      <w:keepLines/>
      <w:spacing w:before="60" w:after="60"/>
      <w:outlineLvl w:val="0"/>
    </w:pPr>
    <w:rPr>
      <w:rFonts w:ascii="Times New Roman" w:eastAsia="宋体" w:hAnsi="Times New Roman" w:cs="Times New Roman"/>
      <w:b/>
      <w:bCs/>
      <w:kern w:val="44"/>
      <w:sz w:val="24"/>
      <w:szCs w:val="44"/>
    </w:rPr>
  </w:style>
  <w:style w:type="paragraph" w:styleId="3">
    <w:name w:val="heading 3"/>
    <w:basedOn w:val="a"/>
    <w:next w:val="a"/>
    <w:link w:val="3Char"/>
    <w:unhideWhenUsed/>
    <w:qFormat/>
    <w:rsid w:val="00906087"/>
    <w:pPr>
      <w:keepNext/>
      <w:keepLines/>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6087"/>
    <w:rPr>
      <w:rFonts w:ascii="Times New Roman" w:eastAsia="宋体" w:hAnsi="Times New Roman" w:cs="Times New Roman"/>
      <w:b/>
      <w:bCs/>
      <w:kern w:val="44"/>
      <w:sz w:val="24"/>
      <w:szCs w:val="44"/>
    </w:rPr>
  </w:style>
  <w:style w:type="character" w:customStyle="1" w:styleId="3Char">
    <w:name w:val="标题 3 Char"/>
    <w:basedOn w:val="a0"/>
    <w:link w:val="3"/>
    <w:rsid w:val="00906087"/>
    <w:rPr>
      <w:b/>
      <w:bCs/>
      <w:szCs w:val="32"/>
    </w:rPr>
  </w:style>
  <w:style w:type="paragraph" w:styleId="a3">
    <w:name w:val="header"/>
    <w:basedOn w:val="a"/>
    <w:link w:val="Char"/>
    <w:unhideWhenUsed/>
    <w:rsid w:val="00906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6087"/>
    <w:rPr>
      <w:sz w:val="18"/>
      <w:szCs w:val="18"/>
    </w:rPr>
  </w:style>
  <w:style w:type="paragraph" w:styleId="a4">
    <w:name w:val="Plain Text"/>
    <w:basedOn w:val="a"/>
    <w:link w:val="Char0"/>
    <w:rsid w:val="00906087"/>
    <w:rPr>
      <w:rFonts w:ascii="宋体" w:eastAsia="宋体" w:hAnsi="Courier New" w:cs="Times New Roman" w:hint="eastAsia"/>
      <w:szCs w:val="20"/>
    </w:rPr>
  </w:style>
  <w:style w:type="character" w:customStyle="1" w:styleId="Char0">
    <w:name w:val="纯文本 Char"/>
    <w:basedOn w:val="a0"/>
    <w:link w:val="a4"/>
    <w:rsid w:val="00906087"/>
    <w:rPr>
      <w:rFonts w:ascii="宋体" w:eastAsia="宋体" w:hAnsi="Courier New" w:cs="Times New Roman"/>
      <w:szCs w:val="20"/>
    </w:rPr>
  </w:style>
  <w:style w:type="paragraph" w:styleId="a5">
    <w:name w:val="Normal (Web)"/>
    <w:basedOn w:val="a"/>
    <w:unhideWhenUsed/>
    <w:rsid w:val="00906087"/>
    <w:pPr>
      <w:widowControl/>
      <w:spacing w:before="100" w:beforeAutospacing="1" w:after="100" w:afterAutospacing="1" w:line="300" w:lineRule="auto"/>
      <w:jc w:val="left"/>
    </w:pPr>
    <w:rPr>
      <w:rFonts w:ascii="Arial Unicode MS" w:eastAsia="Arial Unicode MS" w:hAnsi="Arial Unicode MS" w:cs="Arial Unicode MS"/>
      <w:kern w:val="0"/>
      <w:sz w:val="24"/>
      <w:szCs w:val="24"/>
    </w:rPr>
  </w:style>
  <w:style w:type="character" w:customStyle="1" w:styleId="newstitle">
    <w:name w:val="news_title"/>
    <w:basedOn w:val="a0"/>
    <w:rsid w:val="00906087"/>
  </w:style>
  <w:style w:type="character" w:styleId="a6">
    <w:name w:val="Hyperlink"/>
    <w:basedOn w:val="a0"/>
    <w:uiPriority w:val="99"/>
    <w:semiHidden/>
    <w:unhideWhenUsed/>
    <w:rsid w:val="009060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891</Words>
  <Characters>5085</Characters>
  <Application>Microsoft Office Word</Application>
  <DocSecurity>0</DocSecurity>
  <Lines>42</Lines>
  <Paragraphs>11</Paragraphs>
  <ScaleCrop>false</ScaleCrop>
  <Company>微软中国</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2019-02-25T06:16:00Z</dcterms:created>
  <dcterms:modified xsi:type="dcterms:W3CDTF">2019-02-25T06:19:00Z</dcterms:modified>
</cp:coreProperties>
</file>